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A963" w14:textId="77777777" w:rsidR="00F44DDC" w:rsidRPr="00B416DC" w:rsidRDefault="00F44DDC" w:rsidP="00F44DD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416D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Greater Port Arthur Cha</w:t>
      </w:r>
      <w:r w:rsidRPr="00B416D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mber of Commerce</w:t>
      </w:r>
    </w:p>
    <w:p w14:paraId="57062238" w14:textId="1060A3B8" w:rsidR="00F44DDC" w:rsidRPr="00B416DC" w:rsidRDefault="00F44DDC" w:rsidP="00F44DD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416D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202</w:t>
      </w:r>
      <w:r w:rsidR="0008662D" w:rsidRPr="00B416D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="00B77F31" w:rsidRPr="00B416D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-2025</w:t>
      </w:r>
      <w:r w:rsidRPr="00B416D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Legislative Agenda </w:t>
      </w:r>
    </w:p>
    <w:p w14:paraId="215B9470" w14:textId="77777777" w:rsidR="00F44DDC" w:rsidRPr="00B416DC" w:rsidRDefault="00F44DDC" w:rsidP="00F44DDC">
      <w:pPr>
        <w:spacing w:before="2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416D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This is Southeast Texas …</w:t>
      </w:r>
    </w:p>
    <w:p w14:paraId="515A5B36" w14:textId="77777777" w:rsidR="00F44DDC" w:rsidRPr="00B416DC" w:rsidRDefault="00F44DDC" w:rsidP="00F44DDC">
      <w:pPr>
        <w:pStyle w:val="Subtitle"/>
        <w:spacing w:after="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16DC">
        <w:rPr>
          <w:rFonts w:ascii="Times New Roman" w:hAnsi="Times New Roman" w:cs="Times New Roman"/>
          <w:color w:val="000000" w:themeColor="text1"/>
          <w:sz w:val="20"/>
          <w:szCs w:val="20"/>
        </w:rPr>
        <w:t>and our impact on the state’s and national economy:</w:t>
      </w:r>
    </w:p>
    <w:p w14:paraId="126A0E3F" w14:textId="77777777" w:rsidR="00F44DDC" w:rsidRPr="00B416DC" w:rsidRDefault="00F44DDC" w:rsidP="00F44DDC">
      <w:pPr>
        <w:pStyle w:val="BodyA"/>
        <w:spacing w:after="120" w:line="25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>Southeast Texas, which includes Jefferson and Orange counties, is a major player in the economy of both Texas and the US.  The country’s energy independence begins and ends in our backyard.</w:t>
      </w:r>
    </w:p>
    <w:p w14:paraId="704C659E" w14:textId="7BF34AF6" w:rsidR="00F44DDC" w:rsidRPr="00B416DC" w:rsidRDefault="00C02BC3" w:rsidP="00F44DDC">
      <w:pPr>
        <w:pStyle w:val="BodyA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Southeast</w:t>
      </w:r>
      <w:r w:rsidR="00F44DDC"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become a major hub for storage and export of crude oil, condensate, and refined transportation fuels, as well as LNG and renewable fuels.  Today, the area and Sabine-Neches Waterway can claim the following as a partial list of its growth and importance to the Texas and US economies:</w:t>
      </w:r>
    </w:p>
    <w:p w14:paraId="3DE34B32" w14:textId="022E705D" w:rsidR="00F44DDC" w:rsidRPr="00B416DC" w:rsidRDefault="00F44DDC" w:rsidP="00F44DDC">
      <w:pPr>
        <w:pStyle w:val="BodyA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 Home to </w:t>
      </w:r>
      <w:r w:rsidR="002C6A66">
        <w:rPr>
          <w:rFonts w:ascii="Times New Roman" w:hAnsi="Times New Roman" w:cs="Times New Roman"/>
          <w:color w:val="000000" w:themeColor="text1"/>
          <w:sz w:val="24"/>
          <w:szCs w:val="24"/>
        </w:rPr>
        <w:t>four major refineries, including the</w:t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largest refinery in the US.</w:t>
      </w:r>
    </w:p>
    <w:p w14:paraId="53C88D1D" w14:textId="77777777" w:rsidR="00F44DDC" w:rsidRPr="00B416DC" w:rsidRDefault="00F44DDC" w:rsidP="00F44DDC">
      <w:pPr>
        <w:pStyle w:val="BodyA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  Home to the largest methanol facility in the US.</w:t>
      </w:r>
    </w:p>
    <w:p w14:paraId="4FDA641B" w14:textId="5ADD8BBF" w:rsidR="00F44DDC" w:rsidRPr="00B416DC" w:rsidRDefault="00F44DDC" w:rsidP="00B67A05">
      <w:pPr>
        <w:pStyle w:val="BodyA"/>
        <w:spacing w:after="12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  </w:t>
      </w:r>
      <w:r w:rsidR="002C6A6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>otal</w:t>
      </w:r>
      <w:r w:rsidR="002C6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refinery</w:t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throughput capacity of 1.671 MM barrels </w:t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per day, 8.8 percent of 2019 US refining capacity, but importantly 13 percent of transportation fuels-gasoline, </w:t>
      </w:r>
      <w:r w:rsidR="00217BD8"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>diesel,</w:t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jet fuel</w:t>
      </w:r>
      <w:r w:rsidR="002C6A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the Energy Information Agency (EIA).</w:t>
      </w:r>
    </w:p>
    <w:p w14:paraId="083F4018" w14:textId="77777777" w:rsidR="00F44DDC" w:rsidRPr="00B416DC" w:rsidRDefault="00F44DDC" w:rsidP="00F44DDC">
      <w:pPr>
        <w:pStyle w:val="BodyA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  Home to over 35 chemical and petrochemical facilities.</w:t>
      </w:r>
    </w:p>
    <w:p w14:paraId="7D8A9BDA" w14:textId="77777777" w:rsidR="00F44DDC" w:rsidRPr="00B416DC" w:rsidRDefault="00F44DDC" w:rsidP="00F44DDC">
      <w:pPr>
        <w:pStyle w:val="BodyA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  Home to the largest single owner crude terminal in the US, as well as one of the </w:t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largest single owner refined products and transportation fuels terminals.</w:t>
      </w:r>
    </w:p>
    <w:p w14:paraId="4989F0CE" w14:textId="77777777" w:rsidR="00F44DDC" w:rsidRPr="00B416DC" w:rsidRDefault="00F44DDC" w:rsidP="00F44DDC">
      <w:pPr>
        <w:pStyle w:val="BodyA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6.  Home to the Dept. of Energy Strategic Petroleum Reserve (SPR) intake facility for </w:t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both the Big Hill and West Hackberry storage facilities, which account for 57% of the </w:t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nation’s crude oil strategic reserve, approximately 400 MM barrels.</w:t>
      </w:r>
    </w:p>
    <w:p w14:paraId="4BE7FD5B" w14:textId="0D764667" w:rsidR="00F44DDC" w:rsidRPr="00B416DC" w:rsidRDefault="00F44DDC" w:rsidP="002C5A14">
      <w:pPr>
        <w:pStyle w:val="BodyA"/>
        <w:spacing w:after="120"/>
        <w:ind w:left="72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7.  </w:t>
      </w:r>
      <w:r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Home to the largest </w:t>
      </w:r>
      <w:r w:rsidR="00B67A05"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concentration of </w:t>
      </w:r>
      <w:r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>LNG export</w:t>
      </w:r>
      <w:r w:rsidR="00B67A05"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terminals</w:t>
      </w:r>
      <w:r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US, with </w:t>
      </w:r>
      <w:r w:rsidR="006318A2"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A05"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operation with continuing expansion underway, a second facility being converted from import to </w:t>
      </w:r>
      <w:r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>export capability</w:t>
      </w:r>
      <w:r w:rsidR="002A31EC"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A05"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>and a third one</w:t>
      </w:r>
      <w:r w:rsidR="000D0E77"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A14"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>waiting</w:t>
      </w:r>
      <w:r w:rsidR="002A31EC" w:rsidRPr="00B67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final approval.</w:t>
      </w:r>
    </w:p>
    <w:p w14:paraId="1DEF62D4" w14:textId="77777777" w:rsidR="00F44DDC" w:rsidRPr="00B416DC" w:rsidRDefault="00F44DDC" w:rsidP="00F44DDC">
      <w:pPr>
        <w:pStyle w:val="BodyA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  The Sabine-Neches Waterway is the # 1 liquid bulk cargo waterway in the US.</w:t>
      </w:r>
    </w:p>
    <w:p w14:paraId="03AF1F88" w14:textId="77777777" w:rsidR="00F44DDC" w:rsidRPr="00B416DC" w:rsidRDefault="00F44DDC" w:rsidP="00F44DDC">
      <w:pPr>
        <w:pStyle w:val="BodyA"/>
        <w:spacing w:after="12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>9.  The area is an Origin for 3 major petroleum products pipelines; supplying by pipeline the entire eastern and mid-continent US (except New England) with transportation and home heating fuels.</w:t>
      </w:r>
    </w:p>
    <w:p w14:paraId="705966F1" w14:textId="714CC164" w:rsidR="00F44DDC" w:rsidRPr="00B416DC" w:rsidRDefault="00F44DDC" w:rsidP="00F44DDC">
      <w:pPr>
        <w:pStyle w:val="BodyA"/>
        <w:jc w:val="both"/>
        <w:rPr>
          <w:rFonts w:ascii="Times New Roman" w:hAnsi="Times New Roman" w:cs="Times New Roman"/>
          <w:color w:val="000000" w:themeColor="text1"/>
        </w:rPr>
      </w:pPr>
      <w:r w:rsidRPr="00B416DC">
        <w:rPr>
          <w:rFonts w:ascii="Times New Roman" w:hAnsi="Times New Roman" w:cs="Times New Roman"/>
          <w:color w:val="000000" w:themeColor="text1"/>
        </w:rPr>
        <w:t>Jointly, the Sabine-Neches Waterway; comprised of the Ports of Beaumont, Port Arthur, and Sabine Pass in Jefferson County and the Port of Orange in Orange County, operate as the 3rd largest port/waterway complex in the nation in terms of tonnage and is home to two Strategic Military Ports that function as the nation’s #1 commercial military out-load port.  Export revenue for the waterway was $30.2 billion in 2018.  The projections for 2026 are $73.1 billion, which is in keeping with expected increases in petroleum exports forecast for the entire Gulf Coast area refineries and petrochemical facilities.</w:t>
      </w:r>
    </w:p>
    <w:p w14:paraId="28A3FCD6" w14:textId="3627599C" w:rsidR="009C20F8" w:rsidRPr="00B416DC" w:rsidRDefault="009C20F8" w:rsidP="00F44DDC">
      <w:pPr>
        <w:pStyle w:val="BodyA"/>
        <w:jc w:val="both"/>
        <w:rPr>
          <w:rFonts w:ascii="Times New Roman" w:hAnsi="Times New Roman" w:cs="Times New Roman"/>
          <w:color w:val="000000" w:themeColor="text1"/>
        </w:rPr>
      </w:pPr>
    </w:p>
    <w:p w14:paraId="36D31D6F" w14:textId="0CF1B637" w:rsidR="00786608" w:rsidRPr="00B416DC" w:rsidRDefault="00786608" w:rsidP="00B67A05">
      <w:pPr>
        <w:pStyle w:val="BodyA"/>
        <w:rPr>
          <w:rFonts w:ascii="Times New Roman" w:hAnsi="Times New Roman" w:cs="Times New Roman"/>
          <w:color w:val="000000" w:themeColor="text1"/>
          <w:u w:color="EE220C"/>
        </w:rPr>
      </w:pPr>
      <w:r w:rsidRPr="00B416DC">
        <w:rPr>
          <w:rFonts w:ascii="Times New Roman" w:hAnsi="Times New Roman" w:cs="Times New Roman"/>
          <w:color w:val="000000" w:themeColor="text1"/>
          <w:u w:color="EE220C"/>
        </w:rPr>
        <w:t xml:space="preserve">Unlike her big sister to the west, the Sabine-Neches Waterway and Golden Triangle cities and counties have ample expansion capabilities along our waterway.  </w:t>
      </w:r>
      <w:r w:rsidR="00CE45E4">
        <w:rPr>
          <w:rFonts w:ascii="Times New Roman" w:hAnsi="Times New Roman" w:cs="Times New Roman"/>
          <w:color w:val="000000" w:themeColor="text1"/>
          <w:u w:color="EE220C"/>
        </w:rPr>
        <w:t>The region’s ability to work together across public entities and private organizations to identify growth and expansion o</w:t>
      </w:r>
      <w:r w:rsidRPr="00B416DC">
        <w:rPr>
          <w:rFonts w:ascii="Times New Roman" w:hAnsi="Times New Roman" w:cs="Times New Roman"/>
          <w:color w:val="000000" w:themeColor="text1"/>
          <w:u w:color="EE220C"/>
        </w:rPr>
        <w:t>pportunit</w:t>
      </w:r>
      <w:r w:rsidR="00CE45E4">
        <w:rPr>
          <w:rFonts w:ascii="Times New Roman" w:hAnsi="Times New Roman" w:cs="Times New Roman"/>
          <w:color w:val="000000" w:themeColor="text1"/>
          <w:u w:color="EE220C"/>
        </w:rPr>
        <w:t xml:space="preserve">ies </w:t>
      </w:r>
      <w:r w:rsidRPr="00B416DC">
        <w:rPr>
          <w:rFonts w:ascii="Times New Roman" w:hAnsi="Times New Roman" w:cs="Times New Roman"/>
          <w:color w:val="000000" w:themeColor="text1"/>
          <w:u w:color="EE220C"/>
        </w:rPr>
        <w:t xml:space="preserve">has long been a strong suit of the </w:t>
      </w:r>
      <w:r w:rsidR="00CE45E4">
        <w:rPr>
          <w:rFonts w:ascii="Times New Roman" w:hAnsi="Times New Roman" w:cs="Times New Roman"/>
          <w:color w:val="000000" w:themeColor="text1"/>
          <w:u w:color="EE220C"/>
        </w:rPr>
        <w:t>region</w:t>
      </w:r>
      <w:r w:rsidRPr="00B416DC">
        <w:rPr>
          <w:rFonts w:ascii="Times New Roman" w:hAnsi="Times New Roman" w:cs="Times New Roman"/>
          <w:color w:val="000000" w:themeColor="text1"/>
          <w:u w:color="EE220C"/>
        </w:rPr>
        <w:t xml:space="preserve">.  A perfect example is $1.4 billion </w:t>
      </w:r>
      <w:r w:rsidR="00CE45E4">
        <w:rPr>
          <w:rFonts w:ascii="Times New Roman" w:hAnsi="Times New Roman" w:cs="Times New Roman"/>
          <w:color w:val="000000" w:themeColor="text1"/>
          <w:u w:color="EE220C"/>
        </w:rPr>
        <w:t>Sabine Neches W</w:t>
      </w:r>
      <w:r w:rsidRPr="00B416DC">
        <w:rPr>
          <w:rFonts w:ascii="Times New Roman" w:hAnsi="Times New Roman" w:cs="Times New Roman"/>
          <w:color w:val="000000" w:themeColor="text1"/>
          <w:u w:color="EE220C"/>
        </w:rPr>
        <w:t xml:space="preserve">aterway deepening and improvement project that will eliminate most, if not all, constraints on waterway traffic.  With those </w:t>
      </w:r>
      <w:r w:rsidRPr="00B416DC">
        <w:rPr>
          <w:rFonts w:ascii="Times New Roman" w:hAnsi="Times New Roman" w:cs="Times New Roman"/>
          <w:color w:val="000000" w:themeColor="text1"/>
          <w:u w:color="EE220C"/>
        </w:rPr>
        <w:lastRenderedPageBreak/>
        <w:t>constraints lifted, vessel capacity expansion of up to 25</w:t>
      </w:r>
      <w:r w:rsidR="00CE45E4">
        <w:rPr>
          <w:rFonts w:ascii="Times New Roman" w:hAnsi="Times New Roman" w:cs="Times New Roman"/>
          <w:color w:val="000000" w:themeColor="text1"/>
          <w:u w:color="EE220C"/>
        </w:rPr>
        <w:t xml:space="preserve"> percent </w:t>
      </w:r>
      <w:r w:rsidRPr="00B416DC">
        <w:rPr>
          <w:rFonts w:ascii="Times New Roman" w:hAnsi="Times New Roman" w:cs="Times New Roman"/>
          <w:color w:val="000000" w:themeColor="text1"/>
          <w:u w:color="EE220C"/>
        </w:rPr>
        <w:t xml:space="preserve">is both feasible and likely, given the history of public </w:t>
      </w:r>
      <w:r w:rsidR="00CE45E4">
        <w:rPr>
          <w:rFonts w:ascii="Times New Roman" w:hAnsi="Times New Roman" w:cs="Times New Roman"/>
          <w:color w:val="000000" w:themeColor="text1"/>
          <w:u w:color="EE220C"/>
        </w:rPr>
        <w:t xml:space="preserve">and private </w:t>
      </w:r>
      <w:r w:rsidRPr="00B416DC">
        <w:rPr>
          <w:rFonts w:ascii="Times New Roman" w:hAnsi="Times New Roman" w:cs="Times New Roman"/>
          <w:color w:val="000000" w:themeColor="text1"/>
          <w:u w:color="EE220C"/>
        </w:rPr>
        <w:t>cooperation since 2003.  This increase in waterway vessel capacity will correlate to an even greater increase in waterway tonnage.</w:t>
      </w:r>
      <w:r w:rsidRPr="00B416DC">
        <w:rPr>
          <w:rFonts w:ascii="Times New Roman" w:hAnsi="Times New Roman" w:cs="Times New Roman"/>
          <w:color w:val="000000" w:themeColor="text1"/>
          <w:u w:color="EE220C"/>
        </w:rPr>
        <w:br/>
      </w:r>
    </w:p>
    <w:p w14:paraId="5C1CFE0B" w14:textId="77777777" w:rsidR="00786608" w:rsidRPr="00B416DC" w:rsidRDefault="00786608" w:rsidP="00786608">
      <w:pPr>
        <w:pStyle w:val="Heading1"/>
        <w:spacing w:before="69"/>
        <w:rPr>
          <w:rFonts w:ascii="Times New Roman" w:hAnsi="Times New Roman" w:cs="Times New Roman"/>
          <w:color w:val="000000" w:themeColor="text1"/>
          <w:w w:val="110"/>
          <w:sz w:val="32"/>
          <w:szCs w:val="32"/>
        </w:rPr>
      </w:pPr>
      <w:r w:rsidRPr="00B416DC">
        <w:rPr>
          <w:rFonts w:ascii="Times New Roman" w:hAnsi="Times New Roman" w:cs="Times New Roman"/>
          <w:color w:val="000000" w:themeColor="text1"/>
          <w:w w:val="110"/>
          <w:sz w:val="32"/>
          <w:szCs w:val="32"/>
        </w:rPr>
        <w:t xml:space="preserve">KEY Takeaway DATa </w:t>
      </w:r>
    </w:p>
    <w:p w14:paraId="5F4ADA37" w14:textId="77777777" w:rsidR="00786608" w:rsidRPr="00B416DC" w:rsidRDefault="00786608" w:rsidP="00786608">
      <w:pPr>
        <w:pStyle w:val="Heading1"/>
        <w:spacing w:before="6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416DC">
        <w:rPr>
          <w:rFonts w:ascii="Times New Roman" w:hAnsi="Times New Roman" w:cs="Times New Roman"/>
          <w:color w:val="000000" w:themeColor="text1"/>
          <w:w w:val="110"/>
          <w:sz w:val="32"/>
          <w:szCs w:val="32"/>
        </w:rPr>
        <w:t>for our statement of ECONOMIC IMPACT</w:t>
      </w:r>
    </w:p>
    <w:p w14:paraId="7872BF0B" w14:textId="77777777" w:rsidR="00B25515" w:rsidRPr="00B416DC" w:rsidRDefault="00B25515" w:rsidP="00B25515">
      <w:pPr>
        <w:jc w:val="center"/>
        <w:rPr>
          <w:rFonts w:ascii="Times New Roman" w:hAnsi="Times New Roman" w:cs="Times New Roman"/>
          <w:b/>
        </w:rPr>
      </w:pPr>
      <w:r w:rsidRPr="00B416DC">
        <w:rPr>
          <w:rFonts w:ascii="Times New Roman" w:hAnsi="Times New Roman" w:cs="Times New Roman"/>
          <w:b/>
        </w:rPr>
        <w:t>ECONOMIC IMPACT DATA FOR PA CHAMBER LEGISLATIVE AGENDA</w:t>
      </w:r>
    </w:p>
    <w:p w14:paraId="65180886" w14:textId="77777777" w:rsidR="00B25515" w:rsidRPr="00B416DC" w:rsidRDefault="00B25515" w:rsidP="00B25515">
      <w:pPr>
        <w:rPr>
          <w:rFonts w:ascii="Times New Roman" w:hAnsi="Times New Roman" w:cs="Times New Roman"/>
        </w:rPr>
      </w:pPr>
    </w:p>
    <w:p w14:paraId="660BDC83" w14:textId="6A0F548F" w:rsidR="00B25515" w:rsidRPr="00B416DC" w:rsidRDefault="00B25515" w:rsidP="00B25515">
      <w:pPr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There is currently </w:t>
      </w:r>
      <w:r w:rsidR="00FC2A3A">
        <w:rPr>
          <w:rFonts w:ascii="Times New Roman" w:hAnsi="Times New Roman" w:cs="Times New Roman"/>
        </w:rPr>
        <w:t xml:space="preserve">approximately </w:t>
      </w:r>
      <w:r w:rsidRPr="00B416DC">
        <w:rPr>
          <w:rFonts w:ascii="Times New Roman" w:hAnsi="Times New Roman" w:cs="Times New Roman"/>
        </w:rPr>
        <w:t>$80 billion in announced and proposed industrial projects along the Sabine-Neches Waterway.</w:t>
      </w:r>
      <w:r w:rsidRPr="00B416DC">
        <w:rPr>
          <w:rStyle w:val="FootnoteReference"/>
          <w:rFonts w:ascii="Times New Roman" w:hAnsi="Times New Roman" w:cs="Times New Roman"/>
        </w:rPr>
        <w:footnoteReference w:id="1"/>
      </w:r>
    </w:p>
    <w:p w14:paraId="701773A4" w14:textId="77777777" w:rsidR="00B25515" w:rsidRPr="00B416DC" w:rsidRDefault="00B25515" w:rsidP="00B25515">
      <w:pPr>
        <w:rPr>
          <w:rFonts w:ascii="Times New Roman" w:hAnsi="Times New Roman" w:cs="Times New Roman"/>
        </w:rPr>
      </w:pPr>
    </w:p>
    <w:p w14:paraId="4EBC438D" w14:textId="77777777" w:rsidR="00B25515" w:rsidRPr="00B416DC" w:rsidRDefault="00B25515" w:rsidP="00B25515">
      <w:pPr>
        <w:rPr>
          <w:rFonts w:ascii="Times New Roman" w:hAnsi="Times New Roman" w:cs="Times New Roman"/>
          <w:b/>
        </w:rPr>
      </w:pPr>
      <w:r w:rsidRPr="00B416DC">
        <w:rPr>
          <w:rFonts w:ascii="Times New Roman" w:hAnsi="Times New Roman" w:cs="Times New Roman"/>
          <w:b/>
        </w:rPr>
        <w:t>GDP and Manufacturing</w:t>
      </w:r>
    </w:p>
    <w:p w14:paraId="2778647F" w14:textId="77777777" w:rsidR="00B25515" w:rsidRPr="00B416DC" w:rsidRDefault="00B25515" w:rsidP="00B25515">
      <w:pPr>
        <w:rPr>
          <w:rFonts w:ascii="Times New Roman" w:hAnsi="Times New Roman" w:cs="Times New Roman"/>
        </w:rPr>
      </w:pPr>
    </w:p>
    <w:p w14:paraId="50B421AB" w14:textId="77777777" w:rsidR="00B25515" w:rsidRPr="00B67A05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Texas GDP for all sectors: $2.05 trillion</w:t>
      </w:r>
      <w:r w:rsidRPr="00B67A05">
        <w:rPr>
          <w:rStyle w:val="FootnoteReference"/>
          <w:rFonts w:ascii="Times New Roman" w:hAnsi="Times New Roman" w:cs="Times New Roman"/>
        </w:rPr>
        <w:footnoteReference w:id="2"/>
      </w:r>
    </w:p>
    <w:p w14:paraId="297C8C8B" w14:textId="77777777" w:rsidR="00B25515" w:rsidRPr="00B67A05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SETX GDP for all sectors: $24,636,309,000</w:t>
      </w:r>
      <w:r w:rsidRPr="00B67A05">
        <w:rPr>
          <w:rStyle w:val="FootnoteReference"/>
          <w:rFonts w:ascii="Times New Roman" w:hAnsi="Times New Roman" w:cs="Times New Roman"/>
        </w:rPr>
        <w:footnoteReference w:id="3"/>
      </w:r>
      <w:r w:rsidRPr="00B67A05">
        <w:rPr>
          <w:rFonts w:ascii="Times New Roman" w:hAnsi="Times New Roman" w:cs="Times New Roman"/>
        </w:rPr>
        <w:t xml:space="preserve"> </w:t>
      </w:r>
    </w:p>
    <w:p w14:paraId="2A2867CB" w14:textId="77777777" w:rsidR="00B25515" w:rsidRPr="00B67A05" w:rsidRDefault="00B25515" w:rsidP="00B25515">
      <w:pPr>
        <w:rPr>
          <w:rFonts w:ascii="Times New Roman" w:hAnsi="Times New Roman" w:cs="Times New Roman"/>
        </w:rPr>
      </w:pPr>
    </w:p>
    <w:p w14:paraId="6B22B288" w14:textId="77777777" w:rsidR="00B25515" w:rsidRPr="00B67A05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Texas Manufacturing GDP 2019: $241 billion</w:t>
      </w:r>
      <w:r w:rsidRPr="00B67A05">
        <w:rPr>
          <w:rStyle w:val="FootnoteReference"/>
          <w:rFonts w:ascii="Times New Roman" w:hAnsi="Times New Roman" w:cs="Times New Roman"/>
        </w:rPr>
        <w:footnoteReference w:id="4"/>
      </w:r>
    </w:p>
    <w:p w14:paraId="2D27F8CE" w14:textId="77777777" w:rsidR="00B25515" w:rsidRPr="00B67A05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SETX Manufacturing GDP 2019: $10.7 billion</w:t>
      </w:r>
      <w:r w:rsidRPr="00B67A05">
        <w:rPr>
          <w:rStyle w:val="FootnoteReference"/>
          <w:rFonts w:ascii="Times New Roman" w:hAnsi="Times New Roman" w:cs="Times New Roman"/>
        </w:rPr>
        <w:footnoteReference w:id="5"/>
      </w:r>
    </w:p>
    <w:p w14:paraId="7180B1CD" w14:textId="77777777" w:rsidR="00B25515" w:rsidRPr="00B67A05" w:rsidRDefault="00B25515" w:rsidP="00B25515">
      <w:pPr>
        <w:rPr>
          <w:rFonts w:ascii="Times New Roman" w:hAnsi="Times New Roman" w:cs="Times New Roman"/>
        </w:rPr>
      </w:pPr>
    </w:p>
    <w:p w14:paraId="713203CD" w14:textId="77777777" w:rsidR="00B25515" w:rsidRPr="00B67A05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Percentage of Texas GDP from manufacturing: 11.7%</w:t>
      </w:r>
    </w:p>
    <w:p w14:paraId="26C8B2E8" w14:textId="77777777" w:rsidR="00B25515" w:rsidRPr="00CE45E4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Percentage of SETX GDP from manufacturing: 43.4%</w:t>
      </w:r>
    </w:p>
    <w:p w14:paraId="7C842341" w14:textId="77777777" w:rsidR="00B25515" w:rsidRPr="00CE45E4" w:rsidRDefault="00B25515" w:rsidP="00B25515">
      <w:pPr>
        <w:rPr>
          <w:rFonts w:ascii="Times New Roman" w:hAnsi="Times New Roman" w:cs="Times New Roman"/>
        </w:rPr>
      </w:pPr>
    </w:p>
    <w:p w14:paraId="74495E8F" w14:textId="77777777" w:rsidR="00B25515" w:rsidRPr="00B67A05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Texas civilian labor force-all sectors (Sep. 2020): 14,584,000</w:t>
      </w:r>
      <w:r w:rsidRPr="00B67A05">
        <w:rPr>
          <w:rStyle w:val="FootnoteReference"/>
          <w:rFonts w:ascii="Times New Roman" w:hAnsi="Times New Roman" w:cs="Times New Roman"/>
        </w:rPr>
        <w:footnoteReference w:id="6"/>
      </w:r>
    </w:p>
    <w:p w14:paraId="3DBD8E28" w14:textId="77777777" w:rsidR="00B25515" w:rsidRPr="00B67A05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SETX civilian labor force-all sectors (Sep. 2020): 174,822</w:t>
      </w:r>
      <w:r w:rsidRPr="00B67A05">
        <w:rPr>
          <w:rStyle w:val="FootnoteReference"/>
          <w:rFonts w:ascii="Times New Roman" w:hAnsi="Times New Roman" w:cs="Times New Roman"/>
        </w:rPr>
        <w:footnoteReference w:id="7"/>
      </w:r>
    </w:p>
    <w:p w14:paraId="2C037843" w14:textId="77777777" w:rsidR="00B25515" w:rsidRPr="00B67A05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SETX represents:</w:t>
      </w:r>
    </w:p>
    <w:p w14:paraId="1C29731D" w14:textId="77777777" w:rsidR="00B25515" w:rsidRPr="00B67A05" w:rsidRDefault="00B25515" w:rsidP="00B255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1.3% of the Texas population</w:t>
      </w:r>
    </w:p>
    <w:p w14:paraId="7D31F207" w14:textId="77777777" w:rsidR="00B25515" w:rsidRPr="00B67A05" w:rsidRDefault="00B25515" w:rsidP="00B255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1.2% of the Texas civilian labor force</w:t>
      </w:r>
    </w:p>
    <w:p w14:paraId="001EF63A" w14:textId="77777777" w:rsidR="00B25515" w:rsidRPr="00B67A05" w:rsidRDefault="00B25515" w:rsidP="00B255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1.2% of the Texas GDP</w:t>
      </w:r>
    </w:p>
    <w:p w14:paraId="3ED8AFF7" w14:textId="77777777" w:rsidR="00B25515" w:rsidRPr="00B67A05" w:rsidRDefault="00B25515" w:rsidP="00B255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2.06% of Texas manufacturing jobs</w:t>
      </w:r>
    </w:p>
    <w:p w14:paraId="19E3669C" w14:textId="77777777" w:rsidR="00B25515" w:rsidRPr="00B67A05" w:rsidRDefault="00B25515" w:rsidP="00B25515">
      <w:pPr>
        <w:rPr>
          <w:rFonts w:ascii="Times New Roman" w:hAnsi="Times New Roman" w:cs="Times New Roman"/>
          <w:b/>
        </w:rPr>
      </w:pPr>
    </w:p>
    <w:p w14:paraId="43E4224C" w14:textId="77777777" w:rsidR="00B25515" w:rsidRPr="00CE45E4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  <w:b/>
        </w:rPr>
        <w:t>SETX represents 4.4% of Texas manufacturing GDP</w:t>
      </w:r>
    </w:p>
    <w:p w14:paraId="22049D38" w14:textId="77777777" w:rsidR="00B25515" w:rsidRPr="00CE45E4" w:rsidRDefault="00B25515" w:rsidP="00B25515">
      <w:pPr>
        <w:rPr>
          <w:rFonts w:ascii="Times New Roman" w:hAnsi="Times New Roman" w:cs="Times New Roman"/>
        </w:rPr>
      </w:pPr>
    </w:p>
    <w:p w14:paraId="26103E7E" w14:textId="77777777" w:rsidR="00B25515" w:rsidRPr="00B67A05" w:rsidRDefault="00B25515" w:rsidP="00B25515">
      <w:pPr>
        <w:rPr>
          <w:rFonts w:ascii="Times New Roman" w:hAnsi="Times New Roman" w:cs="Times New Roman"/>
          <w:b/>
        </w:rPr>
      </w:pPr>
      <w:r w:rsidRPr="00B67A05">
        <w:rPr>
          <w:rFonts w:ascii="Times New Roman" w:hAnsi="Times New Roman" w:cs="Times New Roman"/>
          <w:b/>
        </w:rPr>
        <w:lastRenderedPageBreak/>
        <w:t>Ports and Waterways</w:t>
      </w:r>
    </w:p>
    <w:p w14:paraId="583A36BF" w14:textId="77777777" w:rsidR="00B25515" w:rsidRPr="00B67A05" w:rsidRDefault="00B25515" w:rsidP="00B25515">
      <w:pPr>
        <w:rPr>
          <w:rFonts w:ascii="Times New Roman" w:hAnsi="Times New Roman" w:cs="Times New Roman"/>
        </w:rPr>
      </w:pPr>
    </w:p>
    <w:p w14:paraId="4C532875" w14:textId="77777777" w:rsidR="00B25515" w:rsidRPr="00CE45E4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Texas is the number one state in the nation for waterborne commerce</w:t>
      </w:r>
      <w:r w:rsidRPr="00CE45E4">
        <w:rPr>
          <w:rFonts w:ascii="Times New Roman" w:hAnsi="Times New Roman" w:cs="Times New Roman"/>
        </w:rPr>
        <w:t>.</w:t>
      </w:r>
      <w:r w:rsidRPr="00CE45E4">
        <w:rPr>
          <w:rStyle w:val="FootnoteReference"/>
          <w:rFonts w:ascii="Times New Roman" w:hAnsi="Times New Roman" w:cs="Times New Roman"/>
        </w:rPr>
        <w:footnoteReference w:id="8"/>
      </w:r>
    </w:p>
    <w:p w14:paraId="2D440000" w14:textId="77777777" w:rsidR="00B25515" w:rsidRPr="00B67A05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Texas ports handle 608 million tons of cargo annually, or 27.2% of the U.S. total.</w:t>
      </w:r>
      <w:r w:rsidRPr="00B67A05">
        <w:rPr>
          <w:rStyle w:val="FootnoteReference"/>
          <w:rFonts w:ascii="Times New Roman" w:hAnsi="Times New Roman" w:cs="Times New Roman"/>
        </w:rPr>
        <w:footnoteReference w:id="9"/>
      </w:r>
    </w:p>
    <w:p w14:paraId="24C0BE44" w14:textId="77777777" w:rsidR="00B25515" w:rsidRPr="00B416DC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The Sabine-Neches Waterway handles 136 million tons of cargo annually, or 6.1% of the U.S. total.</w:t>
      </w:r>
      <w:r w:rsidRPr="00B67A05">
        <w:rPr>
          <w:rStyle w:val="FootnoteReference"/>
          <w:rFonts w:ascii="Times New Roman" w:hAnsi="Times New Roman" w:cs="Times New Roman"/>
        </w:rPr>
        <w:footnoteReference w:id="10"/>
      </w:r>
      <w:r w:rsidRPr="00B67A05">
        <w:rPr>
          <w:rFonts w:ascii="Times New Roman" w:hAnsi="Times New Roman" w:cs="Times New Roman"/>
        </w:rPr>
        <w:t xml:space="preserve"> The SNNW handles 22% of Texas waterborne cargoes.</w:t>
      </w:r>
      <w:r w:rsidRPr="00B67A05">
        <w:rPr>
          <w:rStyle w:val="FootnoteReference"/>
          <w:rFonts w:ascii="Times New Roman" w:hAnsi="Times New Roman" w:cs="Times New Roman"/>
        </w:rPr>
        <w:footnoteReference w:id="11"/>
      </w:r>
    </w:p>
    <w:p w14:paraId="11500E5F" w14:textId="77777777" w:rsidR="00B25515" w:rsidRPr="00B416DC" w:rsidRDefault="00B25515" w:rsidP="00B25515">
      <w:pPr>
        <w:rPr>
          <w:rFonts w:ascii="Times New Roman" w:hAnsi="Times New Roman" w:cs="Times New Roman"/>
        </w:rPr>
      </w:pPr>
    </w:p>
    <w:p w14:paraId="474419EB" w14:textId="77777777" w:rsidR="00B25515" w:rsidRPr="00B416DC" w:rsidRDefault="00B25515" w:rsidP="00B25515">
      <w:pPr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Ports in Texas generate over $5 billion in local and state tax revenue and over $9 billion in federal import tax revenue every year.</w:t>
      </w:r>
      <w:r w:rsidRPr="00B416DC">
        <w:rPr>
          <w:rStyle w:val="FootnoteReference"/>
          <w:rFonts w:ascii="Times New Roman" w:hAnsi="Times New Roman" w:cs="Times New Roman"/>
        </w:rPr>
        <w:footnoteReference w:id="12"/>
      </w:r>
    </w:p>
    <w:p w14:paraId="1AA32A2F" w14:textId="77777777" w:rsidR="00B25515" w:rsidRPr="00B416DC" w:rsidRDefault="00B25515" w:rsidP="00B25515">
      <w:pPr>
        <w:rPr>
          <w:rFonts w:ascii="Times New Roman" w:hAnsi="Times New Roman" w:cs="Times New Roman"/>
        </w:rPr>
      </w:pPr>
    </w:p>
    <w:p w14:paraId="00961070" w14:textId="77777777" w:rsidR="00B25515" w:rsidRPr="00B416DC" w:rsidRDefault="00B25515" w:rsidP="00B25515">
      <w:pPr>
        <w:rPr>
          <w:rFonts w:ascii="Times New Roman" w:hAnsi="Times New Roman" w:cs="Times New Roman"/>
          <w:b/>
        </w:rPr>
      </w:pPr>
      <w:r w:rsidRPr="00B416DC">
        <w:rPr>
          <w:rFonts w:ascii="Times New Roman" w:hAnsi="Times New Roman" w:cs="Times New Roman"/>
          <w:b/>
        </w:rPr>
        <w:t>Based on tonnage as a percentage of state and national totals, the SNWW generates an estimated $1.1 billion in local and state tax revenue and $423 million in federal import tax revenue every year.</w:t>
      </w:r>
    </w:p>
    <w:p w14:paraId="1801577B" w14:textId="77777777" w:rsidR="00B25515" w:rsidRPr="00B416DC" w:rsidRDefault="00B25515" w:rsidP="00B25515">
      <w:pPr>
        <w:rPr>
          <w:rFonts w:ascii="Times New Roman" w:hAnsi="Times New Roman" w:cs="Times New Roman"/>
        </w:rPr>
      </w:pPr>
    </w:p>
    <w:p w14:paraId="0685C568" w14:textId="77777777" w:rsidR="00B25515" w:rsidRPr="00B416DC" w:rsidRDefault="00B25515" w:rsidP="00B25515">
      <w:pPr>
        <w:rPr>
          <w:rFonts w:ascii="Times New Roman" w:hAnsi="Times New Roman" w:cs="Times New Roman"/>
          <w:b/>
        </w:rPr>
      </w:pPr>
      <w:r w:rsidRPr="00B416DC">
        <w:rPr>
          <w:rFonts w:ascii="Times New Roman" w:hAnsi="Times New Roman" w:cs="Times New Roman"/>
          <w:b/>
        </w:rPr>
        <w:t>The Port of Beaumont is the number one military outload port in the country.</w:t>
      </w:r>
      <w:r w:rsidRPr="00B416DC">
        <w:rPr>
          <w:rStyle w:val="FootnoteReference"/>
          <w:rFonts w:ascii="Times New Roman" w:hAnsi="Times New Roman" w:cs="Times New Roman"/>
          <w:b/>
        </w:rPr>
        <w:footnoteReference w:id="13"/>
      </w:r>
    </w:p>
    <w:p w14:paraId="54F2DCD7" w14:textId="77777777" w:rsidR="00B25515" w:rsidRPr="00B416DC" w:rsidRDefault="00B25515" w:rsidP="00B25515">
      <w:pPr>
        <w:rPr>
          <w:rFonts w:ascii="Times New Roman" w:hAnsi="Times New Roman" w:cs="Times New Roman"/>
        </w:rPr>
      </w:pPr>
    </w:p>
    <w:p w14:paraId="040F1331" w14:textId="77777777" w:rsidR="00B25515" w:rsidRPr="00B416DC" w:rsidRDefault="00B25515" w:rsidP="00B25515">
      <w:pPr>
        <w:rPr>
          <w:rFonts w:ascii="Times New Roman" w:hAnsi="Times New Roman" w:cs="Times New Roman"/>
          <w:b/>
        </w:rPr>
      </w:pPr>
      <w:r w:rsidRPr="00B416DC">
        <w:rPr>
          <w:rFonts w:ascii="Times New Roman" w:hAnsi="Times New Roman" w:cs="Times New Roman"/>
          <w:b/>
        </w:rPr>
        <w:t>Refining</w:t>
      </w:r>
    </w:p>
    <w:p w14:paraId="515FE9F5" w14:textId="77777777" w:rsidR="00B25515" w:rsidRPr="00B416DC" w:rsidRDefault="00B25515" w:rsidP="00B25515">
      <w:pPr>
        <w:rPr>
          <w:rFonts w:ascii="Times New Roman" w:hAnsi="Times New Roman" w:cs="Times New Roman"/>
        </w:rPr>
      </w:pPr>
    </w:p>
    <w:p w14:paraId="679F4DD1" w14:textId="77777777" w:rsidR="00B25515" w:rsidRPr="00B67A05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U.S. Refining Utilization and Capacity: 17.9 million barrels per day.</w:t>
      </w:r>
      <w:r w:rsidRPr="00B67A05">
        <w:rPr>
          <w:rStyle w:val="FootnoteReference"/>
          <w:rFonts w:ascii="Times New Roman" w:hAnsi="Times New Roman" w:cs="Times New Roman"/>
        </w:rPr>
        <w:footnoteReference w:id="14"/>
      </w:r>
    </w:p>
    <w:p w14:paraId="657947C1" w14:textId="77777777" w:rsidR="00B25515" w:rsidRPr="00B416DC" w:rsidRDefault="00B25515" w:rsidP="00B25515">
      <w:pPr>
        <w:rPr>
          <w:rFonts w:ascii="Times New Roman" w:hAnsi="Times New Roman" w:cs="Times New Roman"/>
        </w:rPr>
      </w:pPr>
      <w:r w:rsidRPr="00B67A05">
        <w:rPr>
          <w:rFonts w:ascii="Times New Roman" w:hAnsi="Times New Roman" w:cs="Times New Roman"/>
        </w:rPr>
        <w:t>Texas refining capacity: 5.9 million barrels per day.</w:t>
      </w:r>
      <w:r w:rsidRPr="00B67A05">
        <w:rPr>
          <w:rStyle w:val="FootnoteReference"/>
          <w:rFonts w:ascii="Times New Roman" w:hAnsi="Times New Roman" w:cs="Times New Roman"/>
        </w:rPr>
        <w:footnoteReference w:id="15"/>
      </w:r>
    </w:p>
    <w:p w14:paraId="78C2A87A" w14:textId="77777777" w:rsidR="00B25515" w:rsidRPr="00B416DC" w:rsidRDefault="00B25515" w:rsidP="00B25515">
      <w:pPr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SETX refining capacity: 1.54 million barrels per day.</w:t>
      </w:r>
      <w:r w:rsidRPr="00B416DC">
        <w:rPr>
          <w:rStyle w:val="FootnoteReference"/>
          <w:rFonts w:ascii="Times New Roman" w:hAnsi="Times New Roman" w:cs="Times New Roman"/>
        </w:rPr>
        <w:footnoteReference w:id="16"/>
      </w:r>
    </w:p>
    <w:p w14:paraId="5EC649B4" w14:textId="77777777" w:rsidR="00B25515" w:rsidRPr="00B416DC" w:rsidRDefault="00B25515" w:rsidP="00B25515">
      <w:pPr>
        <w:rPr>
          <w:rFonts w:ascii="Times New Roman" w:hAnsi="Times New Roman" w:cs="Times New Roman"/>
        </w:rPr>
      </w:pPr>
    </w:p>
    <w:p w14:paraId="7806621E" w14:textId="77777777" w:rsidR="00B25515" w:rsidRPr="00B416DC" w:rsidRDefault="00B25515" w:rsidP="00B25515">
      <w:pPr>
        <w:rPr>
          <w:rFonts w:ascii="Times New Roman" w:hAnsi="Times New Roman" w:cs="Times New Roman"/>
          <w:b/>
        </w:rPr>
      </w:pPr>
      <w:r w:rsidRPr="00B416DC">
        <w:rPr>
          <w:rFonts w:ascii="Times New Roman" w:hAnsi="Times New Roman" w:cs="Times New Roman"/>
          <w:b/>
        </w:rPr>
        <w:t>Texas refineries represent 30% of the nation’s refining capacity</w:t>
      </w:r>
    </w:p>
    <w:p w14:paraId="27EF1009" w14:textId="77777777" w:rsidR="00B25515" w:rsidRPr="00B416DC" w:rsidRDefault="00B25515" w:rsidP="00B25515">
      <w:pPr>
        <w:rPr>
          <w:rFonts w:ascii="Times New Roman" w:hAnsi="Times New Roman" w:cs="Times New Roman"/>
          <w:b/>
        </w:rPr>
      </w:pPr>
      <w:r w:rsidRPr="00B416DC">
        <w:rPr>
          <w:rFonts w:ascii="Times New Roman" w:hAnsi="Times New Roman" w:cs="Times New Roman"/>
          <w:b/>
        </w:rPr>
        <w:t>SETX refineries represent 26.5% of Texas’ refining capacity.</w:t>
      </w:r>
    </w:p>
    <w:p w14:paraId="1946FBEB" w14:textId="77777777" w:rsidR="00B25515" w:rsidRPr="00B416DC" w:rsidRDefault="00B25515" w:rsidP="00B25515">
      <w:pPr>
        <w:rPr>
          <w:rFonts w:ascii="Times New Roman" w:hAnsi="Times New Roman" w:cs="Times New Roman"/>
        </w:rPr>
      </w:pPr>
    </w:p>
    <w:p w14:paraId="533B2742" w14:textId="77777777" w:rsidR="00B25515" w:rsidRPr="00B416DC" w:rsidRDefault="00B25515" w:rsidP="00B25515">
      <w:pPr>
        <w:rPr>
          <w:rFonts w:ascii="Times New Roman" w:hAnsi="Times New Roman" w:cs="Times New Roman"/>
          <w:b/>
        </w:rPr>
      </w:pPr>
      <w:r w:rsidRPr="00B416DC">
        <w:rPr>
          <w:rFonts w:ascii="Times New Roman" w:hAnsi="Times New Roman" w:cs="Times New Roman"/>
          <w:b/>
        </w:rPr>
        <w:t>State Government Expenditures</w:t>
      </w:r>
    </w:p>
    <w:p w14:paraId="1F5DF45B" w14:textId="77777777" w:rsidR="00B25515" w:rsidRPr="00B416DC" w:rsidRDefault="00B25515" w:rsidP="00B25515">
      <w:pPr>
        <w:rPr>
          <w:rFonts w:ascii="Times New Roman" w:hAnsi="Times New Roman" w:cs="Times New Roman"/>
        </w:rPr>
      </w:pPr>
    </w:p>
    <w:p w14:paraId="727417AE" w14:textId="77777777" w:rsidR="00B25515" w:rsidRPr="00B416DC" w:rsidRDefault="00B25515" w:rsidP="00B25515">
      <w:pPr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Texas State government expenditures 2019</w:t>
      </w:r>
      <w:r w:rsidRPr="00B416DC">
        <w:rPr>
          <w:rStyle w:val="FootnoteReference"/>
          <w:rFonts w:ascii="Times New Roman" w:hAnsi="Times New Roman" w:cs="Times New Roman"/>
        </w:rPr>
        <w:footnoteReference w:id="17"/>
      </w:r>
    </w:p>
    <w:p w14:paraId="6ABD5922" w14:textId="77777777" w:rsidR="00B25515" w:rsidRPr="00B416DC" w:rsidRDefault="00B25515" w:rsidP="00B255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All counties: $98.3 billion</w:t>
      </w:r>
    </w:p>
    <w:p w14:paraId="7D114EFB" w14:textId="77777777" w:rsidR="00B25515" w:rsidRPr="00B416DC" w:rsidRDefault="00B25515" w:rsidP="00B255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SETX: $995.8 million</w:t>
      </w:r>
    </w:p>
    <w:p w14:paraId="0D07FFFB" w14:textId="173C9343" w:rsidR="00B416DC" w:rsidRDefault="00B25515" w:rsidP="00B67A05">
      <w:pPr>
        <w:rPr>
          <w:rFonts w:ascii="Times New Roman" w:hAnsi="Times New Roman" w:cs="Times New Roman"/>
          <w:b/>
          <w:bCs/>
        </w:rPr>
      </w:pPr>
      <w:r w:rsidRPr="00B416DC">
        <w:rPr>
          <w:rFonts w:ascii="Times New Roman" w:hAnsi="Times New Roman" w:cs="Times New Roman"/>
        </w:rPr>
        <w:t>Percentage of Texas state government expenditures in SETX: 0.97%</w:t>
      </w:r>
      <w:r w:rsidR="00CE45E4">
        <w:rPr>
          <w:rStyle w:val="FootnoteReference"/>
          <w:rFonts w:ascii="Times New Roman" w:hAnsi="Times New Roman" w:cs="Times New Roman"/>
        </w:rPr>
        <w:footnoteReference w:id="18"/>
      </w:r>
    </w:p>
    <w:p w14:paraId="568FBACF" w14:textId="77777777" w:rsidR="00B416DC" w:rsidRDefault="00B416DC" w:rsidP="00D37082">
      <w:pPr>
        <w:tabs>
          <w:tab w:val="left" w:pos="511"/>
          <w:tab w:val="left" w:pos="513"/>
        </w:tabs>
        <w:jc w:val="center"/>
        <w:rPr>
          <w:rFonts w:ascii="Times New Roman" w:hAnsi="Times New Roman" w:cs="Times New Roman"/>
          <w:b/>
          <w:bCs/>
        </w:rPr>
      </w:pPr>
    </w:p>
    <w:p w14:paraId="491EAD2C" w14:textId="06F3EB1F" w:rsidR="00D37082" w:rsidRPr="00B416DC" w:rsidRDefault="00D37082" w:rsidP="00D37082">
      <w:pPr>
        <w:tabs>
          <w:tab w:val="left" w:pos="511"/>
          <w:tab w:val="left" w:pos="513"/>
        </w:tabs>
        <w:jc w:val="center"/>
        <w:rPr>
          <w:rFonts w:ascii="Times New Roman" w:hAnsi="Times New Roman" w:cs="Times New Roman"/>
          <w:b/>
          <w:bCs/>
        </w:rPr>
      </w:pPr>
      <w:r w:rsidRPr="00B416DC">
        <w:rPr>
          <w:rFonts w:ascii="Times New Roman" w:hAnsi="Times New Roman" w:cs="Times New Roman"/>
          <w:b/>
          <w:bCs/>
        </w:rPr>
        <w:t>ECONOMIC DEVELOPMENT</w:t>
      </w:r>
    </w:p>
    <w:p w14:paraId="38E652FE" w14:textId="77777777" w:rsidR="00D37082" w:rsidRPr="00B416DC" w:rsidRDefault="00D37082" w:rsidP="00D37082">
      <w:pPr>
        <w:tabs>
          <w:tab w:val="left" w:pos="511"/>
          <w:tab w:val="left" w:pos="513"/>
        </w:tabs>
        <w:jc w:val="center"/>
        <w:rPr>
          <w:rFonts w:ascii="Times New Roman" w:hAnsi="Times New Roman" w:cs="Times New Roman"/>
        </w:rPr>
      </w:pPr>
    </w:p>
    <w:p w14:paraId="770AA43A" w14:textId="09EA41AB" w:rsidR="00D37082" w:rsidRPr="0031282E" w:rsidRDefault="00D37082" w:rsidP="00E811ED">
      <w:pPr>
        <w:tabs>
          <w:tab w:val="left" w:pos="511"/>
          <w:tab w:val="left" w:pos="513"/>
        </w:tabs>
        <w:rPr>
          <w:rFonts w:ascii="Times New Roman" w:hAnsi="Times New Roman" w:cs="Times New Roman"/>
          <w:b/>
          <w:bCs/>
        </w:rPr>
      </w:pPr>
      <w:r w:rsidRPr="0031282E">
        <w:rPr>
          <w:rFonts w:ascii="Times New Roman" w:hAnsi="Times New Roman" w:cs="Times New Roman"/>
          <w:b/>
          <w:bCs/>
        </w:rPr>
        <w:t>The Chamber</w:t>
      </w:r>
      <w:r w:rsidR="00CE45E4">
        <w:rPr>
          <w:rFonts w:ascii="Times New Roman" w:hAnsi="Times New Roman" w:cs="Times New Roman"/>
          <w:b/>
          <w:bCs/>
        </w:rPr>
        <w:t>s</w:t>
      </w:r>
      <w:r w:rsidRPr="0031282E">
        <w:rPr>
          <w:rFonts w:ascii="Times New Roman" w:hAnsi="Times New Roman" w:cs="Times New Roman"/>
          <w:b/>
          <w:bCs/>
        </w:rPr>
        <w:t xml:space="preserve"> support:</w:t>
      </w:r>
    </w:p>
    <w:p w14:paraId="6E4B299F" w14:textId="77777777" w:rsidR="00D37082" w:rsidRPr="00B416DC" w:rsidRDefault="00D37082" w:rsidP="00E811ED">
      <w:pPr>
        <w:tabs>
          <w:tab w:val="left" w:pos="511"/>
          <w:tab w:val="left" w:pos="513"/>
        </w:tabs>
        <w:rPr>
          <w:rFonts w:ascii="Times New Roman" w:hAnsi="Times New Roman" w:cs="Times New Roman"/>
        </w:rPr>
      </w:pPr>
    </w:p>
    <w:p w14:paraId="5488AFF9" w14:textId="7FD61921" w:rsidR="00D37082" w:rsidRPr="00B416DC" w:rsidRDefault="00D37082" w:rsidP="00E811ED">
      <w:pPr>
        <w:numPr>
          <w:ilvl w:val="0"/>
          <w:numId w:val="1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Revive </w:t>
      </w:r>
      <w:r w:rsidR="00CE45E4">
        <w:rPr>
          <w:rFonts w:ascii="Times New Roman" w:hAnsi="Times New Roman" w:cs="Times New Roman"/>
        </w:rPr>
        <w:t>T</w:t>
      </w:r>
      <w:r w:rsidRPr="00B416DC">
        <w:rPr>
          <w:rFonts w:ascii="Times New Roman" w:hAnsi="Times New Roman" w:cs="Times New Roman"/>
        </w:rPr>
        <w:t xml:space="preserve">ax </w:t>
      </w:r>
      <w:r w:rsidR="00CE45E4">
        <w:rPr>
          <w:rFonts w:ascii="Times New Roman" w:hAnsi="Times New Roman" w:cs="Times New Roman"/>
        </w:rPr>
        <w:t>C</w:t>
      </w:r>
      <w:r w:rsidRPr="00B416DC">
        <w:rPr>
          <w:rFonts w:ascii="Times New Roman" w:hAnsi="Times New Roman" w:cs="Times New Roman"/>
        </w:rPr>
        <w:t>ode</w:t>
      </w:r>
      <w:r w:rsidR="00CE45E4">
        <w:rPr>
          <w:rFonts w:ascii="Times New Roman" w:hAnsi="Times New Roman" w:cs="Times New Roman"/>
        </w:rPr>
        <w:t xml:space="preserve"> Ch. 313 or replace it with a new and comparable statute</w:t>
      </w:r>
      <w:r w:rsidRPr="00B416DC">
        <w:rPr>
          <w:rFonts w:ascii="Times New Roman" w:hAnsi="Times New Roman" w:cs="Times New Roman"/>
        </w:rPr>
        <w:t xml:space="preserve"> to enable Texas to compete for major capital projects</w:t>
      </w:r>
    </w:p>
    <w:p w14:paraId="1AD3BD00" w14:textId="77777777" w:rsidR="00D37082" w:rsidRPr="00B416DC" w:rsidRDefault="00D37082" w:rsidP="00E811ED">
      <w:pPr>
        <w:numPr>
          <w:ilvl w:val="0"/>
          <w:numId w:val="1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Expedite the permitting process through TCEQ, TxDOT, GLO, USACE and other state entities</w:t>
      </w:r>
    </w:p>
    <w:p w14:paraId="48065ECC" w14:textId="77777777" w:rsidR="00D37082" w:rsidRPr="00B416DC" w:rsidRDefault="00D37082" w:rsidP="00E811ED">
      <w:pPr>
        <w:numPr>
          <w:ilvl w:val="0"/>
          <w:numId w:val="1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A State broadband plan, managed by a state broadband office</w:t>
      </w:r>
    </w:p>
    <w:p w14:paraId="376FA1FC" w14:textId="70D9A34E" w:rsidR="00D37082" w:rsidRPr="00B416DC" w:rsidRDefault="00D37082" w:rsidP="00E811ED">
      <w:pPr>
        <w:numPr>
          <w:ilvl w:val="0"/>
          <w:numId w:val="1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Updates </w:t>
      </w:r>
      <w:r w:rsidR="00CE45E4">
        <w:rPr>
          <w:rFonts w:ascii="Times New Roman" w:hAnsi="Times New Roman" w:cs="Times New Roman"/>
        </w:rPr>
        <w:t xml:space="preserve">to </w:t>
      </w:r>
      <w:r w:rsidRPr="00B416DC">
        <w:rPr>
          <w:rFonts w:ascii="Times New Roman" w:hAnsi="Times New Roman" w:cs="Times New Roman"/>
        </w:rPr>
        <w:t>water and sewer services for Jefferson and Orange counties</w:t>
      </w:r>
    </w:p>
    <w:p w14:paraId="50A60D46" w14:textId="77777777" w:rsidR="00D37082" w:rsidRPr="00B416DC" w:rsidRDefault="00D37082" w:rsidP="00E811ED">
      <w:pPr>
        <w:numPr>
          <w:ilvl w:val="0"/>
          <w:numId w:val="1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Texas Enterprise Zone programs for business attraction and retention</w:t>
      </w:r>
    </w:p>
    <w:p w14:paraId="4DA1E093" w14:textId="2EFD0C9B" w:rsidR="00D37082" w:rsidRPr="00B416DC" w:rsidRDefault="00D37082" w:rsidP="00B67A05">
      <w:pPr>
        <w:numPr>
          <w:ilvl w:val="0"/>
          <w:numId w:val="1"/>
        </w:numPr>
        <w:tabs>
          <w:tab w:val="left" w:pos="511"/>
          <w:tab w:val="left" w:pos="513"/>
        </w:tabs>
        <w:rPr>
          <w:rFonts w:ascii="Times New Roman" w:hAnsi="Times New Roman" w:cs="Times New Roman"/>
          <w:b/>
          <w:bCs/>
        </w:rPr>
      </w:pPr>
      <w:r w:rsidRPr="00B416DC">
        <w:rPr>
          <w:rFonts w:ascii="Times New Roman" w:hAnsi="Times New Roman" w:cs="Times New Roman"/>
        </w:rPr>
        <w:t>Protection of Texas fisheries and gulf caught wild shrimp industry</w:t>
      </w:r>
    </w:p>
    <w:p w14:paraId="38EBCCDB" w14:textId="77777777" w:rsidR="00D37082" w:rsidRPr="00B416DC" w:rsidRDefault="00D37082" w:rsidP="00794C08">
      <w:pPr>
        <w:tabs>
          <w:tab w:val="left" w:pos="511"/>
          <w:tab w:val="left" w:pos="513"/>
        </w:tabs>
        <w:jc w:val="center"/>
        <w:rPr>
          <w:rFonts w:ascii="Times New Roman" w:hAnsi="Times New Roman" w:cs="Times New Roman"/>
          <w:b/>
          <w:bCs/>
        </w:rPr>
      </w:pPr>
    </w:p>
    <w:p w14:paraId="55D04DF5" w14:textId="563135DA" w:rsidR="00794C08" w:rsidRPr="00B416DC" w:rsidRDefault="00794C08" w:rsidP="00794C08">
      <w:pPr>
        <w:tabs>
          <w:tab w:val="left" w:pos="511"/>
          <w:tab w:val="left" w:pos="513"/>
        </w:tabs>
        <w:jc w:val="center"/>
        <w:rPr>
          <w:rFonts w:ascii="Times New Roman" w:hAnsi="Times New Roman" w:cs="Times New Roman"/>
          <w:b/>
          <w:bCs/>
        </w:rPr>
      </w:pPr>
      <w:r w:rsidRPr="00B416DC">
        <w:rPr>
          <w:rFonts w:ascii="Times New Roman" w:hAnsi="Times New Roman" w:cs="Times New Roman"/>
          <w:b/>
          <w:bCs/>
        </w:rPr>
        <w:t>EDUCATION AND WORKFORCE DEVELOPMENT</w:t>
      </w:r>
    </w:p>
    <w:p w14:paraId="334B8E7D" w14:textId="77777777" w:rsidR="00794C08" w:rsidRPr="00B416DC" w:rsidRDefault="00794C08" w:rsidP="00794C08">
      <w:pPr>
        <w:tabs>
          <w:tab w:val="left" w:pos="511"/>
          <w:tab w:val="left" w:pos="513"/>
        </w:tabs>
        <w:rPr>
          <w:rFonts w:ascii="Times New Roman" w:hAnsi="Times New Roman" w:cs="Times New Roman"/>
          <w:color w:val="000000" w:themeColor="text1"/>
        </w:rPr>
      </w:pPr>
    </w:p>
    <w:p w14:paraId="74A62D1F" w14:textId="3CD94F8E" w:rsidR="00794C08" w:rsidRPr="0031282E" w:rsidRDefault="00794C08" w:rsidP="00794C08">
      <w:pPr>
        <w:tabs>
          <w:tab w:val="left" w:pos="511"/>
          <w:tab w:val="left" w:pos="513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B416DC">
        <w:rPr>
          <w:rFonts w:ascii="Times New Roman" w:hAnsi="Times New Roman" w:cs="Times New Roman"/>
          <w:color w:val="000000" w:themeColor="text1"/>
        </w:rPr>
        <w:t xml:space="preserve"> </w:t>
      </w:r>
      <w:r w:rsidRPr="0031282E">
        <w:rPr>
          <w:rFonts w:ascii="Times New Roman" w:hAnsi="Times New Roman" w:cs="Times New Roman"/>
          <w:b/>
          <w:bCs/>
          <w:color w:val="000000" w:themeColor="text1"/>
        </w:rPr>
        <w:t>The Chamber</w:t>
      </w:r>
      <w:r w:rsidR="000509A2" w:rsidRPr="0031282E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31282E">
        <w:rPr>
          <w:rFonts w:ascii="Times New Roman" w:hAnsi="Times New Roman" w:cs="Times New Roman"/>
          <w:b/>
          <w:bCs/>
          <w:color w:val="000000" w:themeColor="text1"/>
        </w:rPr>
        <w:t xml:space="preserve"> support:</w:t>
      </w:r>
    </w:p>
    <w:p w14:paraId="261DE4B1" w14:textId="77777777" w:rsidR="00794C08" w:rsidRPr="00B416DC" w:rsidRDefault="00794C08" w:rsidP="00794C08">
      <w:pPr>
        <w:tabs>
          <w:tab w:val="left" w:pos="511"/>
          <w:tab w:val="left" w:pos="513"/>
        </w:tabs>
        <w:rPr>
          <w:rFonts w:ascii="Times New Roman" w:hAnsi="Times New Roman" w:cs="Times New Roman"/>
          <w:color w:val="000000" w:themeColor="text1"/>
        </w:rPr>
      </w:pPr>
      <w:r w:rsidRPr="00B416DC">
        <w:rPr>
          <w:rFonts w:ascii="Times New Roman" w:hAnsi="Times New Roman" w:cs="Times New Roman"/>
          <w:color w:val="000000" w:themeColor="text1"/>
        </w:rPr>
        <w:t xml:space="preserve">    </w:t>
      </w:r>
    </w:p>
    <w:p w14:paraId="63DB1977" w14:textId="77777777" w:rsidR="00794C08" w:rsidRPr="00B416DC" w:rsidRDefault="00794C08" w:rsidP="00794C08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>increased funding to ensure school districts can address safety and security</w:t>
      </w:r>
    </w:p>
    <w:p w14:paraId="676CC8CA" w14:textId="77777777" w:rsidR="00794C08" w:rsidRPr="00B416DC" w:rsidRDefault="00794C08" w:rsidP="00794C08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funding to meet the increased demand for school-based mental health counseling services  </w:t>
      </w:r>
    </w:p>
    <w:p w14:paraId="535FD010" w14:textId="77777777" w:rsidR="00794C08" w:rsidRPr="00B416DC" w:rsidRDefault="00794C08" w:rsidP="00794C08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>replacement of the “one size fits all” State Accountability Rating system</w:t>
      </w:r>
    </w:p>
    <w:p w14:paraId="1DBDD81F" w14:textId="77777777" w:rsidR="00794C08" w:rsidRPr="00B416DC" w:rsidRDefault="00794C08" w:rsidP="00794C08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>measures to address the teacher shortage and improve recruitment and retention</w:t>
      </w:r>
    </w:p>
    <w:p w14:paraId="1718DCBB" w14:textId="77777777" w:rsidR="00794C08" w:rsidRPr="00B416DC" w:rsidRDefault="00794C08" w:rsidP="00794C08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>expanding student loan forgiveness programs for teachers</w:t>
      </w:r>
    </w:p>
    <w:p w14:paraId="2FD89FA4" w14:textId="77777777" w:rsidR="00794C08" w:rsidRPr="00B416DC" w:rsidRDefault="00794C08" w:rsidP="00794C08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>giving school districts the ability to create escrow accounts to hold tax payments pending resolution of contested valuations.</w:t>
      </w:r>
    </w:p>
    <w:p w14:paraId="247128C7" w14:textId="77777777" w:rsidR="00794C08" w:rsidRPr="00B416DC" w:rsidRDefault="00794C08" w:rsidP="00794C08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increase in higher education formula funding to $8.16. </w:t>
      </w:r>
    </w:p>
    <w:p w14:paraId="243617BC" w14:textId="77777777" w:rsidR="00794C08" w:rsidRPr="00B416DC" w:rsidRDefault="00794C08" w:rsidP="00794C08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 appropriation of $1.9 million dollars to support the initiatives and expansions of Lamar State College Port Arthur’s Allied Health Programs.</w:t>
      </w:r>
    </w:p>
    <w:p w14:paraId="4A395F0A" w14:textId="77777777" w:rsidR="00794C08" w:rsidRPr="00B416DC" w:rsidRDefault="00794C08" w:rsidP="00794C08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6DC">
        <w:rPr>
          <w:rFonts w:ascii="Times New Roman" w:eastAsia="Times New Roman" w:hAnsi="Times New Roman" w:cs="Times New Roman"/>
          <w:color w:val="222222"/>
          <w:sz w:val="24"/>
          <w:szCs w:val="24"/>
        </w:rPr>
        <w:t>an appropriation of $4 million dollars for disaster mitigation of Lamar State College Port Arthur’s Monroe Education Building</w:t>
      </w:r>
    </w:p>
    <w:p w14:paraId="15FFD103" w14:textId="77777777" w:rsidR="00794C08" w:rsidRPr="00B416DC" w:rsidRDefault="00794C08" w:rsidP="00794C08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B416DC">
        <w:rPr>
          <w:rFonts w:ascii="Times New Roman" w:hAnsi="Times New Roman" w:cs="Times New Roman"/>
          <w:sz w:val="24"/>
          <w:szCs w:val="24"/>
        </w:rPr>
        <w:t xml:space="preserve">greater flexibility in use of workforce development funds to give Workforce Centers more </w:t>
      </w:r>
    </w:p>
    <w:p w14:paraId="74AFB39A" w14:textId="77CDCBBB" w:rsidR="00794C08" w:rsidRPr="00B67A05" w:rsidRDefault="00794C08" w:rsidP="00B67A05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tools for career preparedness training and internships.</w:t>
      </w:r>
    </w:p>
    <w:p w14:paraId="34F0AAC7" w14:textId="77777777" w:rsidR="00D20866" w:rsidRPr="00B67A05" w:rsidRDefault="00D20866" w:rsidP="00B67A05">
      <w:pPr>
        <w:tabs>
          <w:tab w:val="left" w:pos="450"/>
        </w:tabs>
        <w:rPr>
          <w:rFonts w:ascii="Times New Roman" w:hAnsi="Times New Roman" w:cs="Times New Roman"/>
          <w:b/>
          <w:bCs/>
        </w:rPr>
      </w:pPr>
    </w:p>
    <w:p w14:paraId="21D135C1" w14:textId="029F7889" w:rsidR="00D426E6" w:rsidRPr="00B416DC" w:rsidRDefault="00BE6C67" w:rsidP="000509A2">
      <w:pPr>
        <w:pStyle w:val="ListParagraph"/>
        <w:tabs>
          <w:tab w:val="left" w:pos="450"/>
        </w:tabs>
        <w:spacing w:line="240" w:lineRule="auto"/>
        <w:ind w:left="450" w:hanging="450"/>
        <w:jc w:val="center"/>
        <w:rPr>
          <w:rFonts w:ascii="Times New Roman" w:hAnsi="Times New Roman" w:cs="Times New Roman"/>
          <w:b/>
          <w:bCs/>
        </w:rPr>
      </w:pPr>
      <w:r w:rsidRPr="00B416DC">
        <w:rPr>
          <w:rFonts w:ascii="Times New Roman" w:hAnsi="Times New Roman" w:cs="Times New Roman"/>
          <w:b/>
          <w:bCs/>
        </w:rPr>
        <w:t>ENVIRONMENTAL QUALITY &amp; STEWARDSHI</w:t>
      </w:r>
      <w:r w:rsidR="00CE45E4">
        <w:rPr>
          <w:rFonts w:ascii="Times New Roman" w:hAnsi="Times New Roman" w:cs="Times New Roman"/>
          <w:b/>
          <w:bCs/>
        </w:rPr>
        <w:t>P</w:t>
      </w:r>
    </w:p>
    <w:p w14:paraId="55647D45" w14:textId="3A988387" w:rsidR="00BE6C67" w:rsidRPr="00B416DC" w:rsidRDefault="00BE6C67" w:rsidP="00794C08">
      <w:pPr>
        <w:pStyle w:val="ListParagraph"/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</w:rPr>
      </w:pPr>
    </w:p>
    <w:p w14:paraId="07FA9BDA" w14:textId="2D0DBA46" w:rsidR="000509A2" w:rsidRPr="0031282E" w:rsidRDefault="000509A2" w:rsidP="000509A2">
      <w:pPr>
        <w:pStyle w:val="ListParagraph"/>
        <w:tabs>
          <w:tab w:val="left" w:pos="511"/>
          <w:tab w:val="left" w:pos="513"/>
        </w:tabs>
        <w:spacing w:line="240" w:lineRule="auto"/>
        <w:ind w:left="450" w:hanging="450"/>
        <w:rPr>
          <w:rFonts w:ascii="Times New Roman" w:hAnsi="Times New Roman" w:cs="Times New Roman"/>
          <w:b/>
          <w:bCs/>
        </w:rPr>
      </w:pPr>
      <w:r w:rsidRPr="0031282E">
        <w:rPr>
          <w:rFonts w:ascii="Times New Roman" w:hAnsi="Times New Roman" w:cs="Times New Roman"/>
          <w:b/>
          <w:bCs/>
        </w:rPr>
        <w:t>The Chambers support:</w:t>
      </w:r>
    </w:p>
    <w:p w14:paraId="3698CBC8" w14:textId="1ECE7B05" w:rsidR="000509A2" w:rsidRPr="00B416DC" w:rsidRDefault="000509A2" w:rsidP="000509A2">
      <w:pPr>
        <w:pStyle w:val="ListParagraph"/>
        <w:tabs>
          <w:tab w:val="left" w:pos="511"/>
          <w:tab w:val="left" w:pos="513"/>
        </w:tabs>
        <w:spacing w:line="240" w:lineRule="auto"/>
        <w:ind w:left="450" w:hanging="450"/>
        <w:rPr>
          <w:rFonts w:ascii="Times New Roman" w:hAnsi="Times New Roman" w:cs="Times New Roman"/>
        </w:rPr>
      </w:pPr>
    </w:p>
    <w:p w14:paraId="72522D9B" w14:textId="7B5643C8" w:rsidR="000509A2" w:rsidRPr="00B416DC" w:rsidRDefault="00F332A7" w:rsidP="00C52260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Natural Barriers </w:t>
      </w:r>
      <w:r w:rsidR="00EE79E5" w:rsidRPr="00B416DC">
        <w:rPr>
          <w:rFonts w:ascii="Times New Roman" w:hAnsi="Times New Roman" w:cs="Times New Roman"/>
        </w:rPr>
        <w:t xml:space="preserve">restoration of ecological </w:t>
      </w:r>
      <w:r w:rsidR="00B34E7A" w:rsidRPr="00B416DC">
        <w:rPr>
          <w:rFonts w:ascii="Times New Roman" w:hAnsi="Times New Roman" w:cs="Times New Roman"/>
        </w:rPr>
        <w:t xml:space="preserve">system for all </w:t>
      </w:r>
      <w:r w:rsidR="00C52260" w:rsidRPr="00B416DC">
        <w:rPr>
          <w:rFonts w:ascii="Times New Roman" w:hAnsi="Times New Roman" w:cs="Times New Roman"/>
        </w:rPr>
        <w:t xml:space="preserve">SE </w:t>
      </w:r>
      <w:r w:rsidR="00CB18FD" w:rsidRPr="00B416DC">
        <w:rPr>
          <w:rFonts w:ascii="Times New Roman" w:hAnsi="Times New Roman" w:cs="Times New Roman"/>
        </w:rPr>
        <w:t>residentia</w:t>
      </w:r>
      <w:r w:rsidR="00391AF8" w:rsidRPr="00B416DC">
        <w:rPr>
          <w:rFonts w:ascii="Times New Roman" w:hAnsi="Times New Roman" w:cs="Times New Roman"/>
        </w:rPr>
        <w:t xml:space="preserve">l, </w:t>
      </w:r>
      <w:proofErr w:type="gramStart"/>
      <w:r w:rsidR="00391AF8" w:rsidRPr="00B416DC">
        <w:rPr>
          <w:rFonts w:ascii="Times New Roman" w:hAnsi="Times New Roman" w:cs="Times New Roman"/>
        </w:rPr>
        <w:t>m</w:t>
      </w:r>
      <w:r w:rsidR="00CB18FD" w:rsidRPr="00B416DC">
        <w:rPr>
          <w:rFonts w:ascii="Times New Roman" w:hAnsi="Times New Roman" w:cs="Times New Roman"/>
        </w:rPr>
        <w:t>arine</w:t>
      </w:r>
      <w:proofErr w:type="gramEnd"/>
      <w:r w:rsidR="00CB18FD" w:rsidRPr="00B416DC">
        <w:rPr>
          <w:rFonts w:ascii="Times New Roman" w:hAnsi="Times New Roman" w:cs="Times New Roman"/>
        </w:rPr>
        <w:t xml:space="preserve"> and </w:t>
      </w:r>
      <w:r w:rsidR="00391AF8" w:rsidRPr="00B416DC">
        <w:rPr>
          <w:rFonts w:ascii="Times New Roman" w:hAnsi="Times New Roman" w:cs="Times New Roman"/>
        </w:rPr>
        <w:t xml:space="preserve">business </w:t>
      </w:r>
      <w:r w:rsidR="00B34E7A" w:rsidRPr="00B416DC">
        <w:rPr>
          <w:rFonts w:ascii="Times New Roman" w:hAnsi="Times New Roman" w:cs="Times New Roman"/>
        </w:rPr>
        <w:t>communities</w:t>
      </w:r>
      <w:r w:rsidR="00C52260" w:rsidRPr="00B416DC">
        <w:rPr>
          <w:rFonts w:ascii="Times New Roman" w:hAnsi="Times New Roman" w:cs="Times New Roman"/>
        </w:rPr>
        <w:t xml:space="preserve"> </w:t>
      </w:r>
    </w:p>
    <w:p w14:paraId="4538BCBD" w14:textId="525B9B62" w:rsidR="00391AF8" w:rsidRPr="00B416DC" w:rsidRDefault="00A27005" w:rsidP="00C52260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Cost </w:t>
      </w:r>
      <w:r w:rsidR="00600711" w:rsidRPr="00B416DC">
        <w:rPr>
          <w:rFonts w:ascii="Times New Roman" w:hAnsi="Times New Roman" w:cs="Times New Roman"/>
        </w:rPr>
        <w:t>effective</w:t>
      </w:r>
      <w:r w:rsidRPr="00B416DC">
        <w:rPr>
          <w:rFonts w:ascii="Times New Roman" w:hAnsi="Times New Roman" w:cs="Times New Roman"/>
        </w:rPr>
        <w:t xml:space="preserve"> </w:t>
      </w:r>
      <w:r w:rsidR="00D72DED" w:rsidRPr="00B416DC">
        <w:rPr>
          <w:rFonts w:ascii="Times New Roman" w:hAnsi="Times New Roman" w:cs="Times New Roman"/>
        </w:rPr>
        <w:t xml:space="preserve">funding </w:t>
      </w:r>
      <w:r w:rsidR="00965FED" w:rsidRPr="00B416DC">
        <w:rPr>
          <w:rFonts w:ascii="Times New Roman" w:hAnsi="Times New Roman" w:cs="Times New Roman"/>
        </w:rPr>
        <w:t>for Texas Emissions Reduction Plan (TERP)</w:t>
      </w:r>
      <w:r w:rsidR="00037C46" w:rsidRPr="00B416DC">
        <w:rPr>
          <w:rFonts w:ascii="Times New Roman" w:hAnsi="Times New Roman" w:cs="Times New Roman"/>
        </w:rPr>
        <w:t xml:space="preserve"> to further reduce air emissions</w:t>
      </w:r>
    </w:p>
    <w:p w14:paraId="1F64DB11" w14:textId="3DF4FAF5" w:rsidR="004B5F36" w:rsidRPr="00B416DC" w:rsidRDefault="00916CA1" w:rsidP="00C52260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Clear/concise</w:t>
      </w:r>
      <w:r w:rsidR="00A14104" w:rsidRPr="00B416DC">
        <w:rPr>
          <w:rFonts w:ascii="Times New Roman" w:hAnsi="Times New Roman" w:cs="Times New Roman"/>
        </w:rPr>
        <w:t xml:space="preserve"> regulations</w:t>
      </w:r>
      <w:r w:rsidR="0014646B" w:rsidRPr="00B416DC">
        <w:rPr>
          <w:rFonts w:ascii="Times New Roman" w:hAnsi="Times New Roman" w:cs="Times New Roman"/>
        </w:rPr>
        <w:t xml:space="preserve"> </w:t>
      </w:r>
      <w:r w:rsidR="00840ADF" w:rsidRPr="00B416DC">
        <w:rPr>
          <w:rFonts w:ascii="Times New Roman" w:hAnsi="Times New Roman" w:cs="Times New Roman"/>
        </w:rPr>
        <w:t>for adm</w:t>
      </w:r>
      <w:r w:rsidR="0014646B" w:rsidRPr="00B416DC">
        <w:rPr>
          <w:rFonts w:ascii="Times New Roman" w:hAnsi="Times New Roman" w:cs="Times New Roman"/>
        </w:rPr>
        <w:t>inistrative penalties</w:t>
      </w:r>
      <w:r w:rsidR="00327B3E" w:rsidRPr="00B416DC">
        <w:rPr>
          <w:rFonts w:ascii="Times New Roman" w:hAnsi="Times New Roman" w:cs="Times New Roman"/>
        </w:rPr>
        <w:t xml:space="preserve"> and compliance history ratings</w:t>
      </w:r>
    </w:p>
    <w:p w14:paraId="7A4C4E9C" w14:textId="1E9B8956" w:rsidR="003804BC" w:rsidRPr="00B416DC" w:rsidRDefault="00AF4A58" w:rsidP="00C52260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State </w:t>
      </w:r>
      <w:r w:rsidR="00930032" w:rsidRPr="00B416DC">
        <w:rPr>
          <w:rFonts w:ascii="Times New Roman" w:hAnsi="Times New Roman" w:cs="Times New Roman"/>
        </w:rPr>
        <w:t>water</w:t>
      </w:r>
      <w:r w:rsidRPr="00B416DC">
        <w:rPr>
          <w:rFonts w:ascii="Times New Roman" w:hAnsi="Times New Roman" w:cs="Times New Roman"/>
        </w:rPr>
        <w:t xml:space="preserve"> plan that does not infringe on </w:t>
      </w:r>
      <w:r w:rsidR="00930032" w:rsidRPr="00B416DC">
        <w:rPr>
          <w:rFonts w:ascii="Times New Roman" w:hAnsi="Times New Roman" w:cs="Times New Roman"/>
        </w:rPr>
        <w:t>South</w:t>
      </w:r>
      <w:r w:rsidR="008314F9" w:rsidRPr="00B416DC">
        <w:rPr>
          <w:rFonts w:ascii="Times New Roman" w:hAnsi="Times New Roman" w:cs="Times New Roman"/>
        </w:rPr>
        <w:t xml:space="preserve">east Texas junior </w:t>
      </w:r>
      <w:r w:rsidR="00C04E84" w:rsidRPr="00B416DC">
        <w:rPr>
          <w:rFonts w:ascii="Times New Roman" w:hAnsi="Times New Roman" w:cs="Times New Roman"/>
        </w:rPr>
        <w:t>water rights</w:t>
      </w:r>
    </w:p>
    <w:p w14:paraId="54BFB814" w14:textId="4B57E86A" w:rsidR="000E30C9" w:rsidRPr="00612613" w:rsidRDefault="004F6D15" w:rsidP="00612613">
      <w:pPr>
        <w:pStyle w:val="ListParagraph"/>
        <w:numPr>
          <w:ilvl w:val="0"/>
          <w:numId w:val="1"/>
        </w:numPr>
        <w:tabs>
          <w:tab w:val="left" w:pos="511"/>
          <w:tab w:val="left" w:pos="513"/>
        </w:tabs>
        <w:spacing w:line="240" w:lineRule="auto"/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Carbon </w:t>
      </w:r>
      <w:r w:rsidR="0006767E" w:rsidRPr="00B416DC">
        <w:rPr>
          <w:rFonts w:ascii="Times New Roman" w:hAnsi="Times New Roman" w:cs="Times New Roman"/>
        </w:rPr>
        <w:t>reduction, seques</w:t>
      </w:r>
      <w:r w:rsidR="00464BBD" w:rsidRPr="00B416DC">
        <w:rPr>
          <w:rFonts w:ascii="Times New Roman" w:hAnsi="Times New Roman" w:cs="Times New Roman"/>
        </w:rPr>
        <w:t xml:space="preserve">tration, and </w:t>
      </w:r>
      <w:r w:rsidR="002475DC" w:rsidRPr="00B416DC">
        <w:rPr>
          <w:rFonts w:ascii="Times New Roman" w:hAnsi="Times New Roman" w:cs="Times New Roman"/>
        </w:rPr>
        <w:t>recycling</w:t>
      </w:r>
      <w:r w:rsidR="00B86C56" w:rsidRPr="00B416DC">
        <w:rPr>
          <w:rFonts w:ascii="Times New Roman" w:hAnsi="Times New Roman" w:cs="Times New Roman"/>
        </w:rPr>
        <w:t xml:space="preserve"> </w:t>
      </w:r>
      <w:r w:rsidR="00993B5F" w:rsidRPr="00B416DC">
        <w:rPr>
          <w:rFonts w:ascii="Times New Roman" w:hAnsi="Times New Roman" w:cs="Times New Roman"/>
        </w:rPr>
        <w:t xml:space="preserve">through </w:t>
      </w:r>
      <w:r w:rsidRPr="00B416DC">
        <w:rPr>
          <w:rFonts w:ascii="Times New Roman" w:hAnsi="Times New Roman" w:cs="Times New Roman"/>
        </w:rPr>
        <w:t xml:space="preserve">business incentives </w:t>
      </w:r>
      <w:r w:rsidR="00993B5F" w:rsidRPr="00B416DC">
        <w:rPr>
          <w:rFonts w:ascii="Times New Roman" w:hAnsi="Times New Roman" w:cs="Times New Roman"/>
        </w:rPr>
        <w:t>and rebate</w:t>
      </w:r>
      <w:r w:rsidR="00705EC4" w:rsidRPr="00B416DC">
        <w:rPr>
          <w:rFonts w:ascii="Times New Roman" w:hAnsi="Times New Roman" w:cs="Times New Roman"/>
        </w:rPr>
        <w:t xml:space="preserve"> to l</w:t>
      </w:r>
      <w:r w:rsidR="009E05EB" w:rsidRPr="00B416DC">
        <w:rPr>
          <w:rFonts w:ascii="Times New Roman" w:hAnsi="Times New Roman" w:cs="Times New Roman"/>
        </w:rPr>
        <w:t>ower our SE TX carbon footprint</w:t>
      </w:r>
    </w:p>
    <w:p w14:paraId="0CAD05CE" w14:textId="60C7A3A2" w:rsidR="00711BFA" w:rsidRPr="00B416DC" w:rsidRDefault="00711BFA" w:rsidP="00794C08">
      <w:pPr>
        <w:pStyle w:val="ListParagraph"/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</w:rPr>
      </w:pPr>
    </w:p>
    <w:p w14:paraId="65DD56B7" w14:textId="7BA8036B" w:rsidR="00CC581C" w:rsidRPr="00B416DC" w:rsidRDefault="00D47E38" w:rsidP="00EB317A">
      <w:pPr>
        <w:tabs>
          <w:tab w:val="left" w:pos="511"/>
          <w:tab w:val="left" w:pos="513"/>
        </w:tabs>
        <w:jc w:val="center"/>
        <w:rPr>
          <w:rFonts w:ascii="Times New Roman" w:hAnsi="Times New Roman" w:cs="Times New Roman"/>
          <w:b/>
          <w:bCs/>
        </w:rPr>
      </w:pPr>
      <w:r w:rsidRPr="00B416DC">
        <w:rPr>
          <w:rFonts w:ascii="Times New Roman" w:hAnsi="Times New Roman" w:cs="Times New Roman"/>
          <w:b/>
          <w:bCs/>
        </w:rPr>
        <w:t>HEALTHCARE</w:t>
      </w:r>
    </w:p>
    <w:p w14:paraId="77981CD9" w14:textId="2197B023" w:rsidR="00D47E38" w:rsidRPr="00B416DC" w:rsidRDefault="00D47E38" w:rsidP="00CC581C">
      <w:pPr>
        <w:tabs>
          <w:tab w:val="left" w:pos="511"/>
          <w:tab w:val="left" w:pos="513"/>
        </w:tabs>
        <w:rPr>
          <w:rFonts w:ascii="Times New Roman" w:hAnsi="Times New Roman" w:cs="Times New Roman"/>
        </w:rPr>
      </w:pPr>
    </w:p>
    <w:p w14:paraId="534CF991" w14:textId="4C81F420" w:rsidR="00D47E38" w:rsidRPr="0031282E" w:rsidRDefault="00D47E38" w:rsidP="00CC581C">
      <w:pPr>
        <w:tabs>
          <w:tab w:val="left" w:pos="511"/>
          <w:tab w:val="left" w:pos="513"/>
        </w:tabs>
        <w:rPr>
          <w:rFonts w:ascii="Times New Roman" w:hAnsi="Times New Roman" w:cs="Times New Roman"/>
          <w:b/>
          <w:bCs/>
        </w:rPr>
      </w:pPr>
      <w:r w:rsidRPr="0031282E">
        <w:rPr>
          <w:rFonts w:ascii="Times New Roman" w:hAnsi="Times New Roman" w:cs="Times New Roman"/>
          <w:b/>
          <w:bCs/>
        </w:rPr>
        <w:t>The Chambers support:</w:t>
      </w:r>
    </w:p>
    <w:p w14:paraId="307F4E09" w14:textId="1EE18404" w:rsidR="00D47E38" w:rsidRPr="00B416DC" w:rsidRDefault="00D47E38" w:rsidP="00CC581C">
      <w:pPr>
        <w:tabs>
          <w:tab w:val="left" w:pos="511"/>
          <w:tab w:val="left" w:pos="513"/>
        </w:tabs>
        <w:rPr>
          <w:rFonts w:ascii="Times New Roman" w:hAnsi="Times New Roman" w:cs="Times New Roman"/>
        </w:rPr>
      </w:pPr>
    </w:p>
    <w:p w14:paraId="4C9251A3" w14:textId="0F30569B" w:rsidR="00D47E38" w:rsidRPr="00B416DC" w:rsidRDefault="0078619A" w:rsidP="003F25D3">
      <w:pPr>
        <w:pStyle w:val="ListParagraph"/>
        <w:numPr>
          <w:ilvl w:val="0"/>
          <w:numId w:val="4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Complete hospital </w:t>
      </w:r>
      <w:r w:rsidR="00B70193" w:rsidRPr="00B416DC">
        <w:rPr>
          <w:rFonts w:ascii="Times New Roman" w:hAnsi="Times New Roman" w:cs="Times New Roman"/>
        </w:rPr>
        <w:t>transparency regardin</w:t>
      </w:r>
      <w:r w:rsidR="00DC49CE" w:rsidRPr="00B416DC">
        <w:rPr>
          <w:rFonts w:ascii="Times New Roman" w:hAnsi="Times New Roman" w:cs="Times New Roman"/>
        </w:rPr>
        <w:t>g the cost of all h</w:t>
      </w:r>
      <w:r w:rsidR="00727E0D" w:rsidRPr="00B416DC">
        <w:rPr>
          <w:rFonts w:ascii="Times New Roman" w:hAnsi="Times New Roman" w:cs="Times New Roman"/>
        </w:rPr>
        <w:t xml:space="preserve">ospital </w:t>
      </w:r>
      <w:r w:rsidR="00DC49CE" w:rsidRPr="00B416DC">
        <w:rPr>
          <w:rFonts w:ascii="Times New Roman" w:hAnsi="Times New Roman" w:cs="Times New Roman"/>
        </w:rPr>
        <w:t>services</w:t>
      </w:r>
      <w:r w:rsidR="00727E0D" w:rsidRPr="00B416DC">
        <w:rPr>
          <w:rFonts w:ascii="Times New Roman" w:hAnsi="Times New Roman" w:cs="Times New Roman"/>
        </w:rPr>
        <w:t xml:space="preserve">, prior to </w:t>
      </w:r>
      <w:r w:rsidR="0024541D" w:rsidRPr="00B416DC">
        <w:rPr>
          <w:rFonts w:ascii="Times New Roman" w:hAnsi="Times New Roman" w:cs="Times New Roman"/>
        </w:rPr>
        <w:t>services rendered</w:t>
      </w:r>
    </w:p>
    <w:p w14:paraId="4C774316" w14:textId="60C8FA7E" w:rsidR="003F25D3" w:rsidRPr="00B416DC" w:rsidRDefault="003F25D3" w:rsidP="003F25D3">
      <w:pPr>
        <w:pStyle w:val="ListParagraph"/>
        <w:numPr>
          <w:ilvl w:val="0"/>
          <w:numId w:val="4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Increased funding for mental health</w:t>
      </w:r>
      <w:r w:rsidR="00465A7A" w:rsidRPr="00B416DC">
        <w:rPr>
          <w:rFonts w:ascii="Times New Roman" w:hAnsi="Times New Roman" w:cs="Times New Roman"/>
        </w:rPr>
        <w:t xml:space="preserve"> services for the entire community</w:t>
      </w:r>
    </w:p>
    <w:p w14:paraId="193EA3A5" w14:textId="7E303351" w:rsidR="003C5808" w:rsidRDefault="00AF6D10" w:rsidP="003F25D3">
      <w:pPr>
        <w:pStyle w:val="ListParagraph"/>
        <w:numPr>
          <w:ilvl w:val="0"/>
          <w:numId w:val="4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</w:t>
      </w:r>
      <w:r w:rsidR="00E14F88">
        <w:rPr>
          <w:rFonts w:ascii="Times New Roman" w:hAnsi="Times New Roman" w:cs="Times New Roman"/>
        </w:rPr>
        <w:t xml:space="preserve">lation that preserves </w:t>
      </w:r>
      <w:r w:rsidR="00CE1ABE">
        <w:rPr>
          <w:rFonts w:ascii="Times New Roman" w:hAnsi="Times New Roman" w:cs="Times New Roman"/>
        </w:rPr>
        <w:t xml:space="preserve">hospital’s </w:t>
      </w:r>
      <w:r w:rsidR="000D2473">
        <w:rPr>
          <w:rFonts w:ascii="Times New Roman" w:hAnsi="Times New Roman" w:cs="Times New Roman"/>
        </w:rPr>
        <w:t>Medicare</w:t>
      </w:r>
      <w:r w:rsidR="00CE1ABE">
        <w:rPr>
          <w:rFonts w:ascii="Times New Roman" w:hAnsi="Times New Roman" w:cs="Times New Roman"/>
        </w:rPr>
        <w:t xml:space="preserve"> </w:t>
      </w:r>
      <w:r w:rsidR="002C3B52">
        <w:rPr>
          <w:rFonts w:ascii="Times New Roman" w:hAnsi="Times New Roman" w:cs="Times New Roman"/>
        </w:rPr>
        <w:t>payment rates</w:t>
      </w:r>
    </w:p>
    <w:p w14:paraId="3E2F9139" w14:textId="18A92BC0" w:rsidR="002C3B52" w:rsidRDefault="002C3B52" w:rsidP="003F25D3">
      <w:pPr>
        <w:pStyle w:val="ListParagraph"/>
        <w:numPr>
          <w:ilvl w:val="0"/>
          <w:numId w:val="4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Legislation that </w:t>
      </w:r>
      <w:r w:rsidR="003A6611">
        <w:rPr>
          <w:rFonts w:ascii="Times New Roman" w:hAnsi="Times New Roman" w:cs="Times New Roman"/>
        </w:rPr>
        <w:t>enhances rate for rural, trauma</w:t>
      </w:r>
      <w:r w:rsidR="000D2473">
        <w:rPr>
          <w:rFonts w:ascii="Times New Roman" w:hAnsi="Times New Roman" w:cs="Times New Roman"/>
        </w:rPr>
        <w:t xml:space="preserve"> hospitals</w:t>
      </w:r>
    </w:p>
    <w:p w14:paraId="372C8CE0" w14:textId="57654906" w:rsidR="00711BFA" w:rsidRPr="00612613" w:rsidRDefault="001966AA" w:rsidP="00C5077E">
      <w:pPr>
        <w:pStyle w:val="ListParagraph"/>
        <w:numPr>
          <w:ilvl w:val="0"/>
          <w:numId w:val="4"/>
        </w:numPr>
        <w:tabs>
          <w:tab w:val="left" w:pos="511"/>
          <w:tab w:val="left" w:pos="513"/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Increased appropriations to timely access to </w:t>
      </w:r>
      <w:r w:rsidR="00B257A6">
        <w:rPr>
          <w:rFonts w:ascii="Times New Roman" w:hAnsi="Times New Roman" w:cs="Times New Roman"/>
        </w:rPr>
        <w:t>medical treatment</w:t>
      </w:r>
      <w:r w:rsidR="00961743">
        <w:rPr>
          <w:rFonts w:ascii="Times New Roman" w:hAnsi="Times New Roman" w:cs="Times New Roman"/>
        </w:rPr>
        <w:t xml:space="preserve"> services for behavior health diagnoses</w:t>
      </w:r>
    </w:p>
    <w:p w14:paraId="712C0C25" w14:textId="3D98B278" w:rsidR="00FB18EF" w:rsidRPr="00B416DC" w:rsidRDefault="00711BFA" w:rsidP="004B7504">
      <w:pPr>
        <w:pStyle w:val="ListParagraph"/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ab/>
      </w:r>
    </w:p>
    <w:p w14:paraId="08E8E8DD" w14:textId="37F98B44" w:rsidR="004B7504" w:rsidRPr="00B416DC" w:rsidRDefault="004B7504" w:rsidP="007A4EFA">
      <w:pPr>
        <w:tabs>
          <w:tab w:val="left" w:pos="511"/>
          <w:tab w:val="left" w:pos="513"/>
        </w:tabs>
        <w:jc w:val="center"/>
        <w:rPr>
          <w:rFonts w:ascii="Times New Roman" w:hAnsi="Times New Roman" w:cs="Times New Roman"/>
          <w:b/>
          <w:bCs/>
        </w:rPr>
      </w:pPr>
      <w:r w:rsidRPr="00B416DC">
        <w:rPr>
          <w:rFonts w:ascii="Times New Roman" w:hAnsi="Times New Roman" w:cs="Times New Roman"/>
          <w:b/>
          <w:bCs/>
        </w:rPr>
        <w:t xml:space="preserve">INSURANCE &amp; </w:t>
      </w:r>
      <w:r w:rsidR="008E5F8E" w:rsidRPr="00B416DC">
        <w:rPr>
          <w:rFonts w:ascii="Times New Roman" w:hAnsi="Times New Roman" w:cs="Times New Roman"/>
          <w:b/>
          <w:bCs/>
        </w:rPr>
        <w:t>TAXES</w:t>
      </w:r>
    </w:p>
    <w:p w14:paraId="7B6079E1" w14:textId="3F30A633" w:rsidR="008E5F8E" w:rsidRPr="00B416DC" w:rsidRDefault="008E5F8E" w:rsidP="004B7504">
      <w:pPr>
        <w:tabs>
          <w:tab w:val="left" w:pos="511"/>
          <w:tab w:val="left" w:pos="513"/>
        </w:tabs>
        <w:rPr>
          <w:rFonts w:ascii="Times New Roman" w:hAnsi="Times New Roman" w:cs="Times New Roman"/>
        </w:rPr>
      </w:pPr>
    </w:p>
    <w:p w14:paraId="4864B6F0" w14:textId="02AFD44B" w:rsidR="008E5F8E" w:rsidRPr="00626248" w:rsidRDefault="0085550D" w:rsidP="004B7504">
      <w:pPr>
        <w:tabs>
          <w:tab w:val="left" w:pos="511"/>
          <w:tab w:val="left" w:pos="513"/>
        </w:tabs>
        <w:rPr>
          <w:rFonts w:ascii="Times New Roman" w:hAnsi="Times New Roman" w:cs="Times New Roman"/>
          <w:b/>
          <w:bCs/>
        </w:rPr>
      </w:pPr>
      <w:r w:rsidRPr="00626248">
        <w:rPr>
          <w:rFonts w:ascii="Times New Roman" w:hAnsi="Times New Roman" w:cs="Times New Roman"/>
          <w:b/>
          <w:bCs/>
        </w:rPr>
        <w:t xml:space="preserve">The Chambers </w:t>
      </w:r>
      <w:r w:rsidR="00CE45E4">
        <w:rPr>
          <w:rFonts w:ascii="Times New Roman" w:hAnsi="Times New Roman" w:cs="Times New Roman"/>
          <w:b/>
          <w:bCs/>
        </w:rPr>
        <w:t>o</w:t>
      </w:r>
      <w:r w:rsidRPr="00626248">
        <w:rPr>
          <w:rFonts w:ascii="Times New Roman" w:hAnsi="Times New Roman" w:cs="Times New Roman"/>
          <w:b/>
          <w:bCs/>
        </w:rPr>
        <w:t>ppose:</w:t>
      </w:r>
    </w:p>
    <w:p w14:paraId="63475DE0" w14:textId="43E94260" w:rsidR="0085550D" w:rsidRPr="00B416DC" w:rsidRDefault="0085550D" w:rsidP="004B7504">
      <w:pPr>
        <w:tabs>
          <w:tab w:val="left" w:pos="511"/>
          <w:tab w:val="left" w:pos="513"/>
        </w:tabs>
        <w:rPr>
          <w:rFonts w:ascii="Times New Roman" w:hAnsi="Times New Roman" w:cs="Times New Roman"/>
        </w:rPr>
      </w:pPr>
    </w:p>
    <w:p w14:paraId="66A43B35" w14:textId="3FAEB328" w:rsidR="0085550D" w:rsidRPr="00B416DC" w:rsidRDefault="007E47AF" w:rsidP="00E73018">
      <w:pPr>
        <w:pStyle w:val="ListParagraph"/>
        <w:numPr>
          <w:ilvl w:val="0"/>
          <w:numId w:val="5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</w:t>
      </w:r>
      <w:r w:rsidR="0085550D" w:rsidRPr="00B416DC">
        <w:rPr>
          <w:rFonts w:ascii="Times New Roman" w:hAnsi="Times New Roman" w:cs="Times New Roman"/>
        </w:rPr>
        <w:t xml:space="preserve"> increase to wi</w:t>
      </w:r>
      <w:r w:rsidR="00014D08" w:rsidRPr="00B416DC">
        <w:rPr>
          <w:rFonts w:ascii="Times New Roman" w:hAnsi="Times New Roman" w:cs="Times New Roman"/>
        </w:rPr>
        <w:t>ndstorm</w:t>
      </w:r>
      <w:r w:rsidR="00E505C0" w:rsidRPr="00B416DC">
        <w:rPr>
          <w:rFonts w:ascii="Times New Roman" w:hAnsi="Times New Roman" w:cs="Times New Roman"/>
        </w:rPr>
        <w:t xml:space="preserve"> </w:t>
      </w:r>
      <w:r w:rsidR="00014D08" w:rsidRPr="00B416DC">
        <w:rPr>
          <w:rFonts w:ascii="Times New Roman" w:hAnsi="Times New Roman" w:cs="Times New Roman"/>
        </w:rPr>
        <w:t>insurance rates</w:t>
      </w:r>
      <w:r w:rsidR="00E505C0" w:rsidRPr="00B416DC">
        <w:rPr>
          <w:rFonts w:ascii="Times New Roman" w:hAnsi="Times New Roman" w:cs="Times New Roman"/>
        </w:rPr>
        <w:t xml:space="preserve"> or expansion</w:t>
      </w:r>
    </w:p>
    <w:p w14:paraId="50D50F9F" w14:textId="2E6FF1F3" w:rsidR="004A109C" w:rsidRPr="00B416DC" w:rsidRDefault="00CE45E4" w:rsidP="00E73018">
      <w:pPr>
        <w:pStyle w:val="ListParagraph"/>
        <w:numPr>
          <w:ilvl w:val="0"/>
          <w:numId w:val="5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</w:t>
      </w:r>
      <w:r w:rsidR="005B5E27" w:rsidRPr="00B416DC">
        <w:rPr>
          <w:rFonts w:ascii="Times New Roman" w:hAnsi="Times New Roman" w:cs="Times New Roman"/>
        </w:rPr>
        <w:t xml:space="preserve"> legislation imposing</w:t>
      </w:r>
      <w:r w:rsidR="00BA5062" w:rsidRPr="00B416DC">
        <w:rPr>
          <w:rFonts w:ascii="Times New Roman" w:hAnsi="Times New Roman" w:cs="Times New Roman"/>
        </w:rPr>
        <w:t xml:space="preserve"> a revenue or tax cap on cities and counties</w:t>
      </w:r>
    </w:p>
    <w:p w14:paraId="22DC4D74" w14:textId="17A1D3AB" w:rsidR="00AE3A0F" w:rsidRPr="00626248" w:rsidRDefault="003B6FA3" w:rsidP="00AE3A0F">
      <w:pPr>
        <w:tabs>
          <w:tab w:val="left" w:pos="511"/>
          <w:tab w:val="left" w:pos="513"/>
        </w:tabs>
        <w:rPr>
          <w:rFonts w:ascii="Times New Roman" w:hAnsi="Times New Roman" w:cs="Times New Roman"/>
          <w:b/>
          <w:bCs/>
        </w:rPr>
      </w:pPr>
      <w:r w:rsidRPr="00626248">
        <w:rPr>
          <w:rFonts w:ascii="Times New Roman" w:hAnsi="Times New Roman" w:cs="Times New Roman"/>
          <w:b/>
          <w:bCs/>
        </w:rPr>
        <w:t xml:space="preserve">The Chambers </w:t>
      </w:r>
      <w:r w:rsidR="00CE45E4">
        <w:rPr>
          <w:rFonts w:ascii="Times New Roman" w:hAnsi="Times New Roman" w:cs="Times New Roman"/>
          <w:b/>
          <w:bCs/>
        </w:rPr>
        <w:t>s</w:t>
      </w:r>
      <w:r w:rsidRPr="00626248">
        <w:rPr>
          <w:rFonts w:ascii="Times New Roman" w:hAnsi="Times New Roman" w:cs="Times New Roman"/>
          <w:b/>
          <w:bCs/>
        </w:rPr>
        <w:t>upport:</w:t>
      </w:r>
    </w:p>
    <w:p w14:paraId="4FB031D9" w14:textId="1E613DE4" w:rsidR="003B6FA3" w:rsidRPr="00B416DC" w:rsidRDefault="003B6FA3" w:rsidP="00AE3A0F">
      <w:pPr>
        <w:tabs>
          <w:tab w:val="left" w:pos="511"/>
          <w:tab w:val="left" w:pos="513"/>
        </w:tabs>
        <w:rPr>
          <w:rFonts w:ascii="Times New Roman" w:hAnsi="Times New Roman" w:cs="Times New Roman"/>
        </w:rPr>
      </w:pPr>
    </w:p>
    <w:p w14:paraId="139021D0" w14:textId="40AE0605" w:rsidR="00421613" w:rsidRPr="00B416DC" w:rsidRDefault="00421613" w:rsidP="00D24E5D">
      <w:pPr>
        <w:pStyle w:val="ListParagraph"/>
        <w:numPr>
          <w:ilvl w:val="0"/>
          <w:numId w:val="6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No unfunded mandates </w:t>
      </w:r>
      <w:r w:rsidR="00B32A07" w:rsidRPr="00B416DC">
        <w:rPr>
          <w:rFonts w:ascii="Times New Roman" w:hAnsi="Times New Roman" w:cs="Times New Roman"/>
        </w:rPr>
        <w:t xml:space="preserve">from the </w:t>
      </w:r>
      <w:r w:rsidR="00D24E5D" w:rsidRPr="00B416DC">
        <w:rPr>
          <w:rFonts w:ascii="Times New Roman" w:hAnsi="Times New Roman" w:cs="Times New Roman"/>
        </w:rPr>
        <w:t>state to</w:t>
      </w:r>
      <w:r w:rsidR="00B32A07" w:rsidRPr="00B416DC">
        <w:rPr>
          <w:rFonts w:ascii="Times New Roman" w:hAnsi="Times New Roman" w:cs="Times New Roman"/>
        </w:rPr>
        <w:t xml:space="preserve"> </w:t>
      </w:r>
      <w:r w:rsidR="00D24E5D" w:rsidRPr="00B416DC">
        <w:rPr>
          <w:rFonts w:ascii="Times New Roman" w:hAnsi="Times New Roman" w:cs="Times New Roman"/>
        </w:rPr>
        <w:t>local</w:t>
      </w:r>
      <w:r w:rsidR="00B32A07" w:rsidRPr="00B416DC">
        <w:rPr>
          <w:rFonts w:ascii="Times New Roman" w:hAnsi="Times New Roman" w:cs="Times New Roman"/>
        </w:rPr>
        <w:t xml:space="preserve"> taxing entities</w:t>
      </w:r>
    </w:p>
    <w:p w14:paraId="325961C9" w14:textId="2BCC994B" w:rsidR="005F7DD9" w:rsidRPr="00612613" w:rsidRDefault="00C62F1E" w:rsidP="005F7DD9">
      <w:pPr>
        <w:pStyle w:val="ListParagraph"/>
        <w:numPr>
          <w:ilvl w:val="0"/>
          <w:numId w:val="6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Work towards private </w:t>
      </w:r>
      <w:r w:rsidR="005724CD" w:rsidRPr="00B416DC">
        <w:rPr>
          <w:rFonts w:ascii="Times New Roman" w:hAnsi="Times New Roman" w:cs="Times New Roman"/>
        </w:rPr>
        <w:t>insurance competition in coastal</w:t>
      </w:r>
      <w:r w:rsidR="005F7DD9" w:rsidRPr="00B416DC">
        <w:rPr>
          <w:rFonts w:ascii="Times New Roman" w:hAnsi="Times New Roman" w:cs="Times New Roman"/>
        </w:rPr>
        <w:t xml:space="preserve"> communities</w:t>
      </w:r>
    </w:p>
    <w:p w14:paraId="3ED9E54B" w14:textId="483E3820" w:rsidR="005F7DD9" w:rsidRPr="00B416DC" w:rsidRDefault="005F7DD9" w:rsidP="005F7DD9">
      <w:pPr>
        <w:tabs>
          <w:tab w:val="left" w:pos="511"/>
          <w:tab w:val="left" w:pos="513"/>
        </w:tabs>
        <w:rPr>
          <w:rFonts w:ascii="Times New Roman" w:hAnsi="Times New Roman" w:cs="Times New Roman"/>
        </w:rPr>
      </w:pPr>
    </w:p>
    <w:p w14:paraId="15FC0137" w14:textId="691F1DDA" w:rsidR="005F7DD9" w:rsidRPr="00B416DC" w:rsidRDefault="00F05A55" w:rsidP="005F7DD9">
      <w:pPr>
        <w:tabs>
          <w:tab w:val="left" w:pos="511"/>
          <w:tab w:val="left" w:pos="513"/>
        </w:tabs>
        <w:rPr>
          <w:rFonts w:ascii="Times New Roman" w:hAnsi="Times New Roman" w:cs="Times New Roman"/>
          <w:b/>
          <w:bCs/>
        </w:rPr>
      </w:pPr>
      <w:r w:rsidRPr="00B416DC">
        <w:rPr>
          <w:rFonts w:ascii="Times New Roman" w:hAnsi="Times New Roman" w:cs="Times New Roman"/>
          <w:b/>
          <w:bCs/>
        </w:rPr>
        <w:t>TRANSPORTATION, ENERGY, &amp; INFRASTRUCTURE</w:t>
      </w:r>
    </w:p>
    <w:p w14:paraId="69C91899" w14:textId="62C18EB4" w:rsidR="003912C9" w:rsidRPr="00B416DC" w:rsidRDefault="003912C9" w:rsidP="005F7DD9">
      <w:pPr>
        <w:tabs>
          <w:tab w:val="left" w:pos="511"/>
          <w:tab w:val="left" w:pos="513"/>
        </w:tabs>
        <w:rPr>
          <w:rFonts w:ascii="Times New Roman" w:hAnsi="Times New Roman" w:cs="Times New Roman"/>
          <w:b/>
          <w:bCs/>
        </w:rPr>
      </w:pPr>
    </w:p>
    <w:p w14:paraId="368C8986" w14:textId="7AFB67C0" w:rsidR="003912C9" w:rsidRPr="00B416DC" w:rsidRDefault="003912C9" w:rsidP="005F7DD9">
      <w:pPr>
        <w:tabs>
          <w:tab w:val="left" w:pos="511"/>
          <w:tab w:val="left" w:pos="513"/>
        </w:tabs>
        <w:rPr>
          <w:rFonts w:ascii="Times New Roman" w:hAnsi="Times New Roman" w:cs="Times New Roman"/>
          <w:b/>
          <w:bCs/>
        </w:rPr>
      </w:pPr>
      <w:r w:rsidRPr="00B416DC">
        <w:rPr>
          <w:rFonts w:ascii="Times New Roman" w:hAnsi="Times New Roman" w:cs="Times New Roman"/>
          <w:b/>
          <w:bCs/>
        </w:rPr>
        <w:t>The Chambers support:</w:t>
      </w:r>
    </w:p>
    <w:p w14:paraId="4FB9A4B4" w14:textId="1FF069A1" w:rsidR="0026577F" w:rsidRPr="00B416DC" w:rsidRDefault="0026577F" w:rsidP="005F7DD9">
      <w:pPr>
        <w:tabs>
          <w:tab w:val="left" w:pos="511"/>
          <w:tab w:val="left" w:pos="513"/>
        </w:tabs>
        <w:rPr>
          <w:rFonts w:ascii="Times New Roman" w:hAnsi="Times New Roman" w:cs="Times New Roman"/>
        </w:rPr>
      </w:pPr>
    </w:p>
    <w:p w14:paraId="121BB247" w14:textId="6497BEE0" w:rsidR="005C6F8E" w:rsidRPr="00B416DC" w:rsidRDefault="006008BE" w:rsidP="006B789E">
      <w:pPr>
        <w:pStyle w:val="ListParagraph"/>
        <w:numPr>
          <w:ilvl w:val="0"/>
          <w:numId w:val="7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Second </w:t>
      </w:r>
      <w:r w:rsidR="00FA2E13">
        <w:rPr>
          <w:rFonts w:ascii="Times New Roman" w:hAnsi="Times New Roman" w:cs="Times New Roman"/>
        </w:rPr>
        <w:t>ingress-</w:t>
      </w:r>
      <w:r w:rsidR="005C6F8E" w:rsidRPr="00B416DC">
        <w:rPr>
          <w:rFonts w:ascii="Times New Roman" w:hAnsi="Times New Roman" w:cs="Times New Roman"/>
        </w:rPr>
        <w:t xml:space="preserve">egress out of </w:t>
      </w:r>
      <w:r w:rsidR="00360B39" w:rsidRPr="00B416DC">
        <w:rPr>
          <w:rFonts w:ascii="Times New Roman" w:hAnsi="Times New Roman" w:cs="Times New Roman"/>
        </w:rPr>
        <w:t>S</w:t>
      </w:r>
      <w:r w:rsidR="005C6F8E" w:rsidRPr="00B416DC">
        <w:rPr>
          <w:rFonts w:ascii="Times New Roman" w:hAnsi="Times New Roman" w:cs="Times New Roman"/>
        </w:rPr>
        <w:t>abine Pass</w:t>
      </w:r>
      <w:r w:rsidR="00FA2E13">
        <w:rPr>
          <w:rFonts w:ascii="Times New Roman" w:hAnsi="Times New Roman" w:cs="Times New Roman"/>
        </w:rPr>
        <w:t>, exploring feasibility of ferries as an interim measure</w:t>
      </w:r>
    </w:p>
    <w:p w14:paraId="187E7E1B" w14:textId="5F7BBC96" w:rsidR="00832650" w:rsidRPr="00B416DC" w:rsidRDefault="001B79C4" w:rsidP="006B789E">
      <w:pPr>
        <w:pStyle w:val="ListParagraph"/>
        <w:numPr>
          <w:ilvl w:val="0"/>
          <w:numId w:val="7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Continue</w:t>
      </w:r>
      <w:r w:rsidR="00EA03F0" w:rsidRPr="00B416DC">
        <w:rPr>
          <w:rFonts w:ascii="Times New Roman" w:hAnsi="Times New Roman" w:cs="Times New Roman"/>
        </w:rPr>
        <w:t>d f</w:t>
      </w:r>
      <w:r w:rsidR="00615866" w:rsidRPr="00B416DC">
        <w:rPr>
          <w:rFonts w:ascii="Times New Roman" w:hAnsi="Times New Roman" w:cs="Times New Roman"/>
        </w:rPr>
        <w:t xml:space="preserve">unding of </w:t>
      </w:r>
      <w:r w:rsidR="008023B7" w:rsidRPr="00B416DC">
        <w:rPr>
          <w:rFonts w:ascii="Times New Roman" w:hAnsi="Times New Roman" w:cs="Times New Roman"/>
        </w:rPr>
        <w:t>all public ports and the Sabine Neches</w:t>
      </w:r>
      <w:r w:rsidRPr="00B416DC">
        <w:rPr>
          <w:rFonts w:ascii="Times New Roman" w:hAnsi="Times New Roman" w:cs="Times New Roman"/>
        </w:rPr>
        <w:t xml:space="preserve"> Navigation District</w:t>
      </w:r>
    </w:p>
    <w:p w14:paraId="28FEAB33" w14:textId="2C8295B5" w:rsidR="00FC5259" w:rsidRPr="00B416DC" w:rsidRDefault="00FC5259" w:rsidP="006B789E">
      <w:pPr>
        <w:pStyle w:val="ListParagraph"/>
        <w:numPr>
          <w:ilvl w:val="0"/>
          <w:numId w:val="7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>Expand/restructure</w:t>
      </w:r>
      <w:r w:rsidR="00CB030C" w:rsidRPr="00B416DC">
        <w:rPr>
          <w:rFonts w:ascii="Times New Roman" w:hAnsi="Times New Roman" w:cs="Times New Roman"/>
        </w:rPr>
        <w:t xml:space="preserve"> SH87/82</w:t>
      </w:r>
      <w:r w:rsidR="002917DD" w:rsidRPr="00B416DC">
        <w:rPr>
          <w:rFonts w:ascii="Times New Roman" w:hAnsi="Times New Roman" w:cs="Times New Roman"/>
        </w:rPr>
        <w:t xml:space="preserve"> </w:t>
      </w:r>
      <w:r w:rsidR="00CE45E4">
        <w:rPr>
          <w:rFonts w:ascii="Times New Roman" w:hAnsi="Times New Roman" w:cs="Times New Roman"/>
        </w:rPr>
        <w:t>-</w:t>
      </w:r>
      <w:r w:rsidR="00CE45E4" w:rsidRPr="00B416DC">
        <w:rPr>
          <w:rFonts w:ascii="Times New Roman" w:hAnsi="Times New Roman" w:cs="Times New Roman"/>
        </w:rPr>
        <w:t xml:space="preserve"> </w:t>
      </w:r>
      <w:r w:rsidR="002917DD" w:rsidRPr="00B416DC">
        <w:rPr>
          <w:rFonts w:ascii="Times New Roman" w:hAnsi="Times New Roman" w:cs="Times New Roman"/>
        </w:rPr>
        <w:t xml:space="preserve">SH73 </w:t>
      </w:r>
      <w:r w:rsidR="00CE45E4">
        <w:rPr>
          <w:rFonts w:ascii="Times New Roman" w:hAnsi="Times New Roman" w:cs="Times New Roman"/>
        </w:rPr>
        <w:t xml:space="preserve">interchange </w:t>
      </w:r>
      <w:r w:rsidR="00F703C6" w:rsidRPr="00B416DC">
        <w:rPr>
          <w:rFonts w:ascii="Times New Roman" w:hAnsi="Times New Roman" w:cs="Times New Roman"/>
        </w:rPr>
        <w:t>to</w:t>
      </w:r>
      <w:r w:rsidR="00CE45E4">
        <w:rPr>
          <w:rFonts w:ascii="Times New Roman" w:hAnsi="Times New Roman" w:cs="Times New Roman"/>
        </w:rPr>
        <w:t xml:space="preserve"> improve mobility and</w:t>
      </w:r>
      <w:r w:rsidR="00F703C6" w:rsidRPr="00B416DC">
        <w:rPr>
          <w:rFonts w:ascii="Times New Roman" w:hAnsi="Times New Roman" w:cs="Times New Roman"/>
        </w:rPr>
        <w:t xml:space="preserve"> address bottleneck</w:t>
      </w:r>
      <w:r w:rsidR="001B2AA0" w:rsidRPr="00B416DC">
        <w:rPr>
          <w:rFonts w:ascii="Times New Roman" w:hAnsi="Times New Roman" w:cs="Times New Roman"/>
        </w:rPr>
        <w:t xml:space="preserve"> </w:t>
      </w:r>
      <w:r w:rsidR="00CE45E4">
        <w:rPr>
          <w:rFonts w:ascii="Times New Roman" w:hAnsi="Times New Roman" w:cs="Times New Roman"/>
        </w:rPr>
        <w:t xml:space="preserve">and </w:t>
      </w:r>
      <w:r w:rsidR="00F9266C" w:rsidRPr="00B416DC">
        <w:rPr>
          <w:rFonts w:ascii="Times New Roman" w:hAnsi="Times New Roman" w:cs="Times New Roman"/>
        </w:rPr>
        <w:t>dangerous</w:t>
      </w:r>
      <w:r w:rsidR="007623DE" w:rsidRPr="00B416DC">
        <w:rPr>
          <w:rFonts w:ascii="Times New Roman" w:hAnsi="Times New Roman" w:cs="Times New Roman"/>
        </w:rPr>
        <w:t xml:space="preserve"> </w:t>
      </w:r>
      <w:r w:rsidR="001B2AA0" w:rsidRPr="00B416DC">
        <w:rPr>
          <w:rFonts w:ascii="Times New Roman" w:hAnsi="Times New Roman" w:cs="Times New Roman"/>
        </w:rPr>
        <w:t>traffic patterns</w:t>
      </w:r>
    </w:p>
    <w:p w14:paraId="0C0C658A" w14:textId="622935B2" w:rsidR="00D37B3B" w:rsidRPr="00B416DC" w:rsidRDefault="00680424" w:rsidP="006B789E">
      <w:pPr>
        <w:pStyle w:val="ListParagraph"/>
        <w:numPr>
          <w:ilvl w:val="0"/>
          <w:numId w:val="7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Fund levee </w:t>
      </w:r>
      <w:r w:rsidR="00101B14" w:rsidRPr="00B416DC">
        <w:rPr>
          <w:rFonts w:ascii="Times New Roman" w:hAnsi="Times New Roman" w:cs="Times New Roman"/>
        </w:rPr>
        <w:t xml:space="preserve">system for Jefferson </w:t>
      </w:r>
      <w:r w:rsidR="00041DFC" w:rsidRPr="00B416DC">
        <w:rPr>
          <w:rFonts w:ascii="Times New Roman" w:hAnsi="Times New Roman" w:cs="Times New Roman"/>
        </w:rPr>
        <w:t xml:space="preserve">County insuring </w:t>
      </w:r>
      <w:r w:rsidR="00D37B3B" w:rsidRPr="00B416DC">
        <w:rPr>
          <w:rFonts w:ascii="Times New Roman" w:hAnsi="Times New Roman" w:cs="Times New Roman"/>
        </w:rPr>
        <w:t>timely construction</w:t>
      </w:r>
    </w:p>
    <w:p w14:paraId="3C662B97" w14:textId="558C11A2" w:rsidR="00092304" w:rsidRPr="00702402" w:rsidRDefault="00BB0844" w:rsidP="00702402">
      <w:pPr>
        <w:pStyle w:val="ListParagraph"/>
        <w:numPr>
          <w:ilvl w:val="0"/>
          <w:numId w:val="7"/>
        </w:numPr>
        <w:tabs>
          <w:tab w:val="left" w:pos="511"/>
          <w:tab w:val="left" w:pos="513"/>
        </w:tabs>
        <w:rPr>
          <w:rFonts w:ascii="Times New Roman" w:hAnsi="Times New Roman" w:cs="Times New Roman"/>
        </w:rPr>
      </w:pPr>
      <w:r w:rsidRPr="00B416DC">
        <w:rPr>
          <w:rFonts w:ascii="Times New Roman" w:hAnsi="Times New Roman" w:cs="Times New Roman"/>
        </w:rPr>
        <w:t xml:space="preserve">Maintain and elevate the </w:t>
      </w:r>
      <w:r w:rsidR="00E5124D" w:rsidRPr="00B416DC">
        <w:rPr>
          <w:rFonts w:ascii="Times New Roman" w:hAnsi="Times New Roman" w:cs="Times New Roman"/>
        </w:rPr>
        <w:t xml:space="preserve">competitive </w:t>
      </w:r>
      <w:r w:rsidR="00283F53" w:rsidRPr="00B416DC">
        <w:rPr>
          <w:rFonts w:ascii="Times New Roman" w:hAnsi="Times New Roman" w:cs="Times New Roman"/>
        </w:rPr>
        <w:t>position of Texas ports</w:t>
      </w:r>
      <w:r w:rsidR="009037B1" w:rsidRPr="00B416DC">
        <w:rPr>
          <w:rFonts w:ascii="Times New Roman" w:hAnsi="Times New Roman" w:cs="Times New Roman"/>
        </w:rPr>
        <w:t xml:space="preserve"> and include</w:t>
      </w:r>
      <w:r w:rsidR="00B659DD" w:rsidRPr="00B416DC">
        <w:rPr>
          <w:rFonts w:ascii="Times New Roman" w:hAnsi="Times New Roman" w:cs="Times New Roman"/>
        </w:rPr>
        <w:t xml:space="preserve"> the port access program</w:t>
      </w:r>
      <w:r w:rsidR="001E68EA" w:rsidRPr="00B416DC">
        <w:rPr>
          <w:rFonts w:ascii="Times New Roman" w:hAnsi="Times New Roman" w:cs="Times New Roman"/>
        </w:rPr>
        <w:t xml:space="preserve"> </w:t>
      </w:r>
      <w:r w:rsidR="00CC3ADE" w:rsidRPr="00B416DC">
        <w:rPr>
          <w:rFonts w:ascii="Times New Roman" w:hAnsi="Times New Roman" w:cs="Times New Roman"/>
        </w:rPr>
        <w:t>as infrast</w:t>
      </w:r>
      <w:r w:rsidR="001E68EA" w:rsidRPr="00B416DC">
        <w:rPr>
          <w:rFonts w:ascii="Times New Roman" w:hAnsi="Times New Roman" w:cs="Times New Roman"/>
        </w:rPr>
        <w:t xml:space="preserve">ructure </w:t>
      </w:r>
      <w:r w:rsidR="00EF1EE8" w:rsidRPr="00B416DC">
        <w:rPr>
          <w:rFonts w:ascii="Times New Roman" w:hAnsi="Times New Roman" w:cs="Times New Roman"/>
        </w:rPr>
        <w:t xml:space="preserve">funding </w:t>
      </w:r>
      <w:r w:rsidR="001E68EA" w:rsidRPr="00B416DC">
        <w:rPr>
          <w:rFonts w:ascii="Times New Roman" w:hAnsi="Times New Roman" w:cs="Times New Roman"/>
        </w:rPr>
        <w:t>projects</w:t>
      </w:r>
    </w:p>
    <w:p w14:paraId="295A1C22" w14:textId="00F60312" w:rsidR="00092304" w:rsidRDefault="00092304" w:rsidP="00092304">
      <w:pPr>
        <w:pStyle w:val="ListParagraph"/>
        <w:tabs>
          <w:tab w:val="left" w:pos="511"/>
          <w:tab w:val="left" w:pos="513"/>
        </w:tabs>
        <w:spacing w:line="240" w:lineRule="auto"/>
        <w:ind w:left="450"/>
        <w:rPr>
          <w:rFonts w:ascii="Times New Roman" w:hAnsi="Times New Roman" w:cs="Times New Roman"/>
        </w:rPr>
      </w:pPr>
    </w:p>
    <w:sectPr w:rsidR="00092304" w:rsidSect="00154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CED1" w14:textId="77777777" w:rsidR="00F564AC" w:rsidRDefault="00F564AC" w:rsidP="00B25515">
      <w:r>
        <w:separator/>
      </w:r>
    </w:p>
  </w:endnote>
  <w:endnote w:type="continuationSeparator" w:id="0">
    <w:p w14:paraId="1EEF3BEB" w14:textId="77777777" w:rsidR="00F564AC" w:rsidRDefault="00F564AC" w:rsidP="00B2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E679" w14:textId="77777777" w:rsidR="00677794" w:rsidRDefault="00677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3524" w14:textId="77777777" w:rsidR="00677794" w:rsidRDefault="00677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0228" w14:textId="77777777" w:rsidR="00677794" w:rsidRDefault="00677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9670" w14:textId="77777777" w:rsidR="00F564AC" w:rsidRDefault="00F564AC" w:rsidP="00B25515">
      <w:r>
        <w:separator/>
      </w:r>
    </w:p>
  </w:footnote>
  <w:footnote w:type="continuationSeparator" w:id="0">
    <w:p w14:paraId="2B744514" w14:textId="77777777" w:rsidR="00F564AC" w:rsidRDefault="00F564AC" w:rsidP="00B25515">
      <w:r>
        <w:continuationSeparator/>
      </w:r>
    </w:p>
  </w:footnote>
  <w:footnote w:id="1">
    <w:p w14:paraId="178B3C64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2019 marked year of oil, gas investments for SETX, Beaumont Enterprise, Dec. 30, 2019. </w:t>
      </w:r>
    </w:p>
    <w:p w14:paraId="539876DC" w14:textId="77777777" w:rsidR="00B25515" w:rsidRDefault="00B25515" w:rsidP="00B25515">
      <w:pPr>
        <w:pStyle w:val="FootnoteText"/>
      </w:pPr>
      <w:r>
        <w:t>www.beaumontenterprise.com/news/article/2019-marked-year-of-oil-gas-investments-for-SETX-14940652.php</w:t>
      </w:r>
    </w:p>
  </w:footnote>
  <w:footnote w:id="2">
    <w:p w14:paraId="1B14A80C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Total Gross Domestic Product for Texas, Federal Reserve Bank of St. Louis </w:t>
      </w:r>
      <w:r>
        <w:rPr>
          <w:rFonts w:ascii="Arial" w:hAnsi="Arial" w:cs="Arial"/>
          <w:sz w:val="22"/>
          <w:szCs w:val="22"/>
        </w:rPr>
        <w:t>https://fred.stlouisfed.org/series/TXNGSP</w:t>
      </w:r>
    </w:p>
  </w:footnote>
  <w:footnote w:id="3">
    <w:p w14:paraId="027F8AD6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Economic Overview, Southeast Texas WDA 2022, JobsEQ, a product of CHMURA Consulting, provided by Workforce Solutions Southeast Texas. </w:t>
      </w:r>
    </w:p>
  </w:footnote>
  <w:footnote w:id="4">
    <w:p w14:paraId="71FDE93D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Texas Manufacturing Facts, National Association of Manufacturers</w:t>
      </w:r>
    </w:p>
    <w:p w14:paraId="34E9BD87" w14:textId="77777777" w:rsidR="00B25515" w:rsidRDefault="00B25515" w:rsidP="00B25515">
      <w:pPr>
        <w:pStyle w:val="FootnoteText"/>
      </w:pPr>
      <w:r>
        <w:t xml:space="preserve"> https://www.nam.org/state-manufacturing-data/2021-texas-manufacturing-facts/</w:t>
      </w:r>
    </w:p>
  </w:footnote>
  <w:footnote w:id="5">
    <w:p w14:paraId="0618B1E6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Economic Overview, Southeast Texas WDA 2022.</w:t>
      </w:r>
    </w:p>
  </w:footnote>
  <w:footnote w:id="6">
    <w:p w14:paraId="7C6D6D76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Texas Economy at a Glance, U.S. Department of Labor, Bureau of Labor Statistics, https://www.bls.gov/regions/southwest/texas.htm#eag</w:t>
      </w:r>
    </w:p>
  </w:footnote>
  <w:footnote w:id="7">
    <w:p w14:paraId="0D0D4ED1" w14:textId="77777777" w:rsidR="00B25515" w:rsidRDefault="00B25515" w:rsidP="00B25515">
      <w:pPr>
        <w:pStyle w:val="FootnoteText"/>
        <w:rPr>
          <w:rFonts w:ascii="Calibri" w:hAnsi="Calibri"/>
          <w:sz w:val="22"/>
          <w:szCs w:val="22"/>
        </w:rPr>
      </w:pPr>
      <w:r>
        <w:rPr>
          <w:rStyle w:val="FootnoteReference"/>
        </w:rPr>
        <w:footnoteRef/>
      </w:r>
      <w:r>
        <w:t xml:space="preserve"> Beaumont-Port </w:t>
      </w:r>
      <w:r>
        <w:rPr>
          <w:rFonts w:ascii="Calibri" w:hAnsi="Calibri"/>
          <w:sz w:val="22"/>
          <w:szCs w:val="22"/>
        </w:rPr>
        <w:t>Arthur Economy at a Glance, U.S. Department of Labor, Bureau of Labor Statistics,</w:t>
      </w:r>
    </w:p>
    <w:p w14:paraId="529560A5" w14:textId="77777777" w:rsidR="00B25515" w:rsidRDefault="00B25515" w:rsidP="00B25515">
      <w:pPr>
        <w:pStyle w:val="Footnote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https://www.bls.gov/eag/eag.tx_beaumont_msa.htm</w:t>
      </w:r>
    </w:p>
  </w:footnote>
  <w:footnote w:id="8">
    <w:p w14:paraId="47A98709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Waterborne tonnage for principal U.S. ports and all 50 states and U.S. territories, U. S. Army Corps of Engineers Digital Library, usace.contentdm.ocic.org/digital/collection/p16021coll2/id/6753</w:t>
      </w:r>
    </w:p>
  </w:footnote>
  <w:footnote w:id="9">
    <w:p w14:paraId="4DAE5017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Waterborne tonnage for principal U.S. ports, U. S. Army Corps of Engineers</w:t>
      </w:r>
    </w:p>
  </w:footnote>
  <w:footnote w:id="10">
    <w:p w14:paraId="33436ACE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11">
    <w:p w14:paraId="3C65429E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12">
    <w:p w14:paraId="13B982D0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13">
    <w:p w14:paraId="4EDC301E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14">
    <w:p w14:paraId="702EBE78" w14:textId="77777777" w:rsidR="00B25515" w:rsidRDefault="00B25515" w:rsidP="00B25515">
      <w:pPr>
        <w:rPr>
          <w:rFonts w:ascii="Arial" w:hAnsi="Arial" w:cs="Arial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U.S. Refining Capacity, U.S. Department of Energy, Energy Information, Administration,</w:t>
      </w:r>
    </w:p>
    <w:p w14:paraId="4C4DFE0D" w14:textId="77777777" w:rsidR="00B25515" w:rsidRDefault="00AB3FF9" w:rsidP="00B25515">
      <w:pPr>
        <w:rPr>
          <w:rFonts w:ascii="Arial" w:hAnsi="Arial" w:cs="Arial"/>
          <w:sz w:val="22"/>
          <w:szCs w:val="22"/>
        </w:rPr>
      </w:pPr>
      <w:hyperlink r:id="rId1" w:history="1">
        <w:r w:rsidR="00B25515">
          <w:rPr>
            <w:rStyle w:val="Hyperlink"/>
            <w:rFonts w:ascii="Arial" w:hAnsi="Arial" w:cs="Arial"/>
            <w:sz w:val="22"/>
            <w:szCs w:val="22"/>
          </w:rPr>
          <w:t>https://www.eia.gov/dnav/pet/pet_pnp_unc_dcu_nus_m.htm</w:t>
        </w:r>
      </w:hyperlink>
    </w:p>
  </w:footnote>
  <w:footnote w:id="15">
    <w:p w14:paraId="67180752" w14:textId="77777777" w:rsidR="00B25515" w:rsidRDefault="00B25515" w:rsidP="00B25515"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Texas State Energy Profile, U.S. Department of Energy, Energy Information, Administration</w:t>
      </w:r>
      <w:r>
        <w:t xml:space="preserve"> </w:t>
      </w:r>
      <w:hyperlink r:id="rId2" w:history="1">
        <w:r>
          <w:rPr>
            <w:rStyle w:val="Hyperlink"/>
            <w:rFonts w:ascii="Arial" w:hAnsi="Arial" w:cs="Arial"/>
            <w:sz w:val="22"/>
            <w:szCs w:val="22"/>
          </w:rPr>
          <w:t>https://www.eia.gov/state/print.php?sid=TX</w:t>
        </w:r>
      </w:hyperlink>
    </w:p>
  </w:footnote>
  <w:footnote w:id="16">
    <w:p w14:paraId="1FDDC363" w14:textId="77777777" w:rsidR="00B25515" w:rsidRDefault="00B25515" w:rsidP="00B25515">
      <w:pPr>
        <w:pStyle w:val="FootnoteText"/>
      </w:pPr>
      <w:r>
        <w:rPr>
          <w:rStyle w:val="FootnoteReference"/>
        </w:rPr>
        <w:footnoteRef/>
      </w:r>
      <w:r>
        <w:t xml:space="preserve"> Refiners’ Total Operable Atmospheric Crude Oil Distillation Capacity as of January 1, 2020, U.S. Energy Information Administration, https://www.eia.gov/petroleum/refinerycapacity/table5.pdf</w:t>
      </w:r>
    </w:p>
  </w:footnote>
  <w:footnote w:id="17">
    <w:p w14:paraId="323534EA" w14:textId="77777777" w:rsidR="00B25515" w:rsidRDefault="00B25515" w:rsidP="00B25515">
      <w:pPr>
        <w:pStyle w:val="FootnoteText"/>
      </w:pPr>
    </w:p>
  </w:footnote>
  <w:footnote w:id="18">
    <w:p w14:paraId="261EE173" w14:textId="77777777" w:rsidR="00CE45E4" w:rsidRDefault="00CE45E4" w:rsidP="00CE45E4">
      <w:pPr>
        <w:pStyle w:val="FootnoteText"/>
      </w:pPr>
      <w:r>
        <w:rPr>
          <w:rStyle w:val="FootnoteReference"/>
        </w:rPr>
        <w:footnoteRef/>
      </w:r>
      <w:r>
        <w:t xml:space="preserve"> Texas State Expenditures by County 2019, Texas Open Data Portal https://data.texas.gov/Government-and-Taxes/Texas-State-Expenditures-by-County-2019/2x5x-m677, accessed via Texas Comptroller of Public Accounts</w:t>
      </w:r>
    </w:p>
    <w:p w14:paraId="09BBCE6D" w14:textId="77777777" w:rsidR="00CE45E4" w:rsidRPr="00012B21" w:rsidRDefault="00CE45E4" w:rsidP="00CE45E4">
      <w:pPr>
        <w:pStyle w:val="FootnoteText"/>
      </w:pPr>
      <w:r>
        <w:t>https://comptroller.texas.gov/transparency/reports/expenditures-by-county/</w:t>
      </w:r>
    </w:p>
    <w:p w14:paraId="0E5DE783" w14:textId="349DD5C6" w:rsidR="00CE45E4" w:rsidRDefault="00CE45E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BBE8" w14:textId="77777777" w:rsidR="00677794" w:rsidRDefault="00677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490153"/>
      <w:docPartObj>
        <w:docPartGallery w:val="Watermarks"/>
        <w:docPartUnique/>
      </w:docPartObj>
    </w:sdtPr>
    <w:sdtEndPr/>
    <w:sdtContent>
      <w:p w14:paraId="6514827C" w14:textId="0E4F3A7E" w:rsidR="00677794" w:rsidRDefault="00AB3FF9">
        <w:pPr>
          <w:pStyle w:val="Header"/>
        </w:pPr>
        <w:r>
          <w:rPr>
            <w:noProof/>
          </w:rPr>
          <w:pict w14:anchorId="2CD769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B6E8" w14:textId="77777777" w:rsidR="00677794" w:rsidRDefault="00677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45A"/>
    <w:multiLevelType w:val="hybridMultilevel"/>
    <w:tmpl w:val="8BB4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3C8F"/>
    <w:multiLevelType w:val="hybridMultilevel"/>
    <w:tmpl w:val="23EA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E0595"/>
    <w:multiLevelType w:val="hybridMultilevel"/>
    <w:tmpl w:val="C2385CA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59F54EC"/>
    <w:multiLevelType w:val="hybridMultilevel"/>
    <w:tmpl w:val="2FB2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67145"/>
    <w:multiLevelType w:val="hybridMultilevel"/>
    <w:tmpl w:val="4AEE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76ED3"/>
    <w:multiLevelType w:val="hybridMultilevel"/>
    <w:tmpl w:val="D5E0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E5715"/>
    <w:multiLevelType w:val="hybridMultilevel"/>
    <w:tmpl w:val="0D86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134">
    <w:abstractNumId w:val="1"/>
  </w:num>
  <w:num w:numId="2" w16cid:durableId="185753562">
    <w:abstractNumId w:val="5"/>
  </w:num>
  <w:num w:numId="3" w16cid:durableId="1711685921">
    <w:abstractNumId w:val="2"/>
  </w:num>
  <w:num w:numId="4" w16cid:durableId="1847205555">
    <w:abstractNumId w:val="6"/>
  </w:num>
  <w:num w:numId="5" w16cid:durableId="1953129549">
    <w:abstractNumId w:val="4"/>
  </w:num>
  <w:num w:numId="6" w16cid:durableId="1210454942">
    <w:abstractNumId w:val="3"/>
  </w:num>
  <w:num w:numId="7" w16cid:durableId="170894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FC"/>
    <w:rsid w:val="00012B21"/>
    <w:rsid w:val="00013786"/>
    <w:rsid w:val="00014D08"/>
    <w:rsid w:val="000310A7"/>
    <w:rsid w:val="00037C46"/>
    <w:rsid w:val="00040DA2"/>
    <w:rsid w:val="00041DFC"/>
    <w:rsid w:val="000509A2"/>
    <w:rsid w:val="0006767E"/>
    <w:rsid w:val="0008662D"/>
    <w:rsid w:val="00092304"/>
    <w:rsid w:val="00094E16"/>
    <w:rsid w:val="000973FB"/>
    <w:rsid w:val="000A3A98"/>
    <w:rsid w:val="000A527C"/>
    <w:rsid w:val="000A7AC1"/>
    <w:rsid w:val="000C2016"/>
    <w:rsid w:val="000D0E77"/>
    <w:rsid w:val="000D2473"/>
    <w:rsid w:val="000E30C9"/>
    <w:rsid w:val="00101B14"/>
    <w:rsid w:val="0014646B"/>
    <w:rsid w:val="0015493A"/>
    <w:rsid w:val="00175EFE"/>
    <w:rsid w:val="0018004D"/>
    <w:rsid w:val="001966AA"/>
    <w:rsid w:val="001B2AA0"/>
    <w:rsid w:val="001B79C4"/>
    <w:rsid w:val="001D6251"/>
    <w:rsid w:val="001E0666"/>
    <w:rsid w:val="001E68EA"/>
    <w:rsid w:val="00202CF1"/>
    <w:rsid w:val="002127E2"/>
    <w:rsid w:val="00217BD8"/>
    <w:rsid w:val="00243566"/>
    <w:rsid w:val="0024541D"/>
    <w:rsid w:val="002475DC"/>
    <w:rsid w:val="0026577F"/>
    <w:rsid w:val="00283F53"/>
    <w:rsid w:val="002917DD"/>
    <w:rsid w:val="002A31EC"/>
    <w:rsid w:val="002A7DB7"/>
    <w:rsid w:val="002C3B52"/>
    <w:rsid w:val="002C5A14"/>
    <w:rsid w:val="002C6A66"/>
    <w:rsid w:val="002C7D0C"/>
    <w:rsid w:val="002F0B8D"/>
    <w:rsid w:val="002F631C"/>
    <w:rsid w:val="0030242E"/>
    <w:rsid w:val="00303EBF"/>
    <w:rsid w:val="0031282E"/>
    <w:rsid w:val="00315E71"/>
    <w:rsid w:val="00327B3E"/>
    <w:rsid w:val="00335D45"/>
    <w:rsid w:val="00341987"/>
    <w:rsid w:val="003556E1"/>
    <w:rsid w:val="00360B39"/>
    <w:rsid w:val="003804BC"/>
    <w:rsid w:val="0039057F"/>
    <w:rsid w:val="003912C9"/>
    <w:rsid w:val="00391AF8"/>
    <w:rsid w:val="003A6611"/>
    <w:rsid w:val="003B6FA3"/>
    <w:rsid w:val="003C5808"/>
    <w:rsid w:val="003E00AF"/>
    <w:rsid w:val="003F25D3"/>
    <w:rsid w:val="004023FC"/>
    <w:rsid w:val="00421613"/>
    <w:rsid w:val="00462809"/>
    <w:rsid w:val="00464BBD"/>
    <w:rsid w:val="00465A7A"/>
    <w:rsid w:val="00487F7C"/>
    <w:rsid w:val="004A109C"/>
    <w:rsid w:val="004B5F36"/>
    <w:rsid w:val="004B7504"/>
    <w:rsid w:val="004C3E81"/>
    <w:rsid w:val="004C6DF7"/>
    <w:rsid w:val="004C78F4"/>
    <w:rsid w:val="004D49AB"/>
    <w:rsid w:val="004F6D15"/>
    <w:rsid w:val="00557F8A"/>
    <w:rsid w:val="0057176E"/>
    <w:rsid w:val="005724CD"/>
    <w:rsid w:val="00590BDF"/>
    <w:rsid w:val="005B5E27"/>
    <w:rsid w:val="005C6F8E"/>
    <w:rsid w:val="005F4B8F"/>
    <w:rsid w:val="005F7DD9"/>
    <w:rsid w:val="00600711"/>
    <w:rsid w:val="006008BE"/>
    <w:rsid w:val="00612613"/>
    <w:rsid w:val="00615866"/>
    <w:rsid w:val="00626248"/>
    <w:rsid w:val="006318A2"/>
    <w:rsid w:val="006331B7"/>
    <w:rsid w:val="00643B76"/>
    <w:rsid w:val="00677794"/>
    <w:rsid w:val="00680424"/>
    <w:rsid w:val="006B789E"/>
    <w:rsid w:val="006B7BF5"/>
    <w:rsid w:val="00702402"/>
    <w:rsid w:val="00705EC4"/>
    <w:rsid w:val="00711BFA"/>
    <w:rsid w:val="00713D04"/>
    <w:rsid w:val="007178D5"/>
    <w:rsid w:val="00727E0D"/>
    <w:rsid w:val="00731F28"/>
    <w:rsid w:val="007623DE"/>
    <w:rsid w:val="00770135"/>
    <w:rsid w:val="00775DE7"/>
    <w:rsid w:val="0078619A"/>
    <w:rsid w:val="00786608"/>
    <w:rsid w:val="00792597"/>
    <w:rsid w:val="00794C08"/>
    <w:rsid w:val="007A3CFF"/>
    <w:rsid w:val="007A4EFA"/>
    <w:rsid w:val="007B45C0"/>
    <w:rsid w:val="007E47AF"/>
    <w:rsid w:val="008023B7"/>
    <w:rsid w:val="00825F9C"/>
    <w:rsid w:val="00826D14"/>
    <w:rsid w:val="008314F9"/>
    <w:rsid w:val="00832650"/>
    <w:rsid w:val="00840ADF"/>
    <w:rsid w:val="00851F8D"/>
    <w:rsid w:val="0085550D"/>
    <w:rsid w:val="008557CE"/>
    <w:rsid w:val="008814DE"/>
    <w:rsid w:val="0088166A"/>
    <w:rsid w:val="008C2075"/>
    <w:rsid w:val="008D16F0"/>
    <w:rsid w:val="008E5F8E"/>
    <w:rsid w:val="008F35BD"/>
    <w:rsid w:val="00901BC2"/>
    <w:rsid w:val="009037B1"/>
    <w:rsid w:val="00911661"/>
    <w:rsid w:val="00911889"/>
    <w:rsid w:val="00916CA1"/>
    <w:rsid w:val="00930032"/>
    <w:rsid w:val="00961743"/>
    <w:rsid w:val="00965199"/>
    <w:rsid w:val="00965367"/>
    <w:rsid w:val="00965FED"/>
    <w:rsid w:val="00966AFC"/>
    <w:rsid w:val="00993B5F"/>
    <w:rsid w:val="00995B53"/>
    <w:rsid w:val="009A0C32"/>
    <w:rsid w:val="009B0C34"/>
    <w:rsid w:val="009B29E1"/>
    <w:rsid w:val="009C20F8"/>
    <w:rsid w:val="009E05EB"/>
    <w:rsid w:val="00A14104"/>
    <w:rsid w:val="00A2596B"/>
    <w:rsid w:val="00A27005"/>
    <w:rsid w:val="00A64D66"/>
    <w:rsid w:val="00A656EF"/>
    <w:rsid w:val="00A72472"/>
    <w:rsid w:val="00A929A5"/>
    <w:rsid w:val="00AE3A0F"/>
    <w:rsid w:val="00AF4A58"/>
    <w:rsid w:val="00AF6D10"/>
    <w:rsid w:val="00B210C7"/>
    <w:rsid w:val="00B25515"/>
    <w:rsid w:val="00B257A6"/>
    <w:rsid w:val="00B259F4"/>
    <w:rsid w:val="00B32A07"/>
    <w:rsid w:val="00B34E7A"/>
    <w:rsid w:val="00B37EF7"/>
    <w:rsid w:val="00B416DC"/>
    <w:rsid w:val="00B43037"/>
    <w:rsid w:val="00B52F5B"/>
    <w:rsid w:val="00B659DD"/>
    <w:rsid w:val="00B67A05"/>
    <w:rsid w:val="00B70193"/>
    <w:rsid w:val="00B70264"/>
    <w:rsid w:val="00B77F31"/>
    <w:rsid w:val="00B82A44"/>
    <w:rsid w:val="00B84365"/>
    <w:rsid w:val="00B86C56"/>
    <w:rsid w:val="00B90127"/>
    <w:rsid w:val="00BA4450"/>
    <w:rsid w:val="00BA5062"/>
    <w:rsid w:val="00BB0844"/>
    <w:rsid w:val="00BB1D99"/>
    <w:rsid w:val="00BB25EE"/>
    <w:rsid w:val="00BE6C67"/>
    <w:rsid w:val="00C01862"/>
    <w:rsid w:val="00C02BC3"/>
    <w:rsid w:val="00C04E84"/>
    <w:rsid w:val="00C1597E"/>
    <w:rsid w:val="00C27E9F"/>
    <w:rsid w:val="00C331E2"/>
    <w:rsid w:val="00C45FE8"/>
    <w:rsid w:val="00C5077E"/>
    <w:rsid w:val="00C52260"/>
    <w:rsid w:val="00C62F1E"/>
    <w:rsid w:val="00C66DBD"/>
    <w:rsid w:val="00C768AC"/>
    <w:rsid w:val="00C909FF"/>
    <w:rsid w:val="00CA1CC7"/>
    <w:rsid w:val="00CA7E97"/>
    <w:rsid w:val="00CB030C"/>
    <w:rsid w:val="00CB18FD"/>
    <w:rsid w:val="00CC3ADE"/>
    <w:rsid w:val="00CC4ECF"/>
    <w:rsid w:val="00CC581C"/>
    <w:rsid w:val="00CD124B"/>
    <w:rsid w:val="00CE1ABE"/>
    <w:rsid w:val="00CE45E4"/>
    <w:rsid w:val="00CE6BD0"/>
    <w:rsid w:val="00CF1273"/>
    <w:rsid w:val="00D15AB3"/>
    <w:rsid w:val="00D20866"/>
    <w:rsid w:val="00D23880"/>
    <w:rsid w:val="00D24E5D"/>
    <w:rsid w:val="00D37082"/>
    <w:rsid w:val="00D37B3B"/>
    <w:rsid w:val="00D4239A"/>
    <w:rsid w:val="00D426E6"/>
    <w:rsid w:val="00D47E38"/>
    <w:rsid w:val="00D50162"/>
    <w:rsid w:val="00D72DED"/>
    <w:rsid w:val="00DB1478"/>
    <w:rsid w:val="00DB29FB"/>
    <w:rsid w:val="00DB47B5"/>
    <w:rsid w:val="00DC49CE"/>
    <w:rsid w:val="00E04FFF"/>
    <w:rsid w:val="00E14F88"/>
    <w:rsid w:val="00E20298"/>
    <w:rsid w:val="00E26F34"/>
    <w:rsid w:val="00E4410A"/>
    <w:rsid w:val="00E505C0"/>
    <w:rsid w:val="00E5124D"/>
    <w:rsid w:val="00E611C9"/>
    <w:rsid w:val="00E61622"/>
    <w:rsid w:val="00E62ED4"/>
    <w:rsid w:val="00E73018"/>
    <w:rsid w:val="00E811ED"/>
    <w:rsid w:val="00EA03F0"/>
    <w:rsid w:val="00EA47F4"/>
    <w:rsid w:val="00EB317A"/>
    <w:rsid w:val="00EB52FE"/>
    <w:rsid w:val="00ED13B8"/>
    <w:rsid w:val="00EE79E5"/>
    <w:rsid w:val="00EF0829"/>
    <w:rsid w:val="00EF1EE8"/>
    <w:rsid w:val="00F05A55"/>
    <w:rsid w:val="00F332A7"/>
    <w:rsid w:val="00F44DDC"/>
    <w:rsid w:val="00F564AC"/>
    <w:rsid w:val="00F6250A"/>
    <w:rsid w:val="00F703C6"/>
    <w:rsid w:val="00F73658"/>
    <w:rsid w:val="00F8757A"/>
    <w:rsid w:val="00F9266C"/>
    <w:rsid w:val="00FA2E13"/>
    <w:rsid w:val="00FB18EF"/>
    <w:rsid w:val="00FC255C"/>
    <w:rsid w:val="00FC2A3A"/>
    <w:rsid w:val="00FC5259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F5BE0F"/>
  <w14:defaultImageDpi w14:val="32767"/>
  <w15:chartTrackingRefBased/>
  <w15:docId w15:val="{3D82A04D-D4B6-B74A-8855-4F5766A3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AFC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AFC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AFC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F73658"/>
  </w:style>
  <w:style w:type="paragraph" w:styleId="Subtitle">
    <w:name w:val="Subtitle"/>
    <w:basedOn w:val="Normal"/>
    <w:next w:val="Normal"/>
    <w:link w:val="SubtitleChar"/>
    <w:uiPriority w:val="11"/>
    <w:qFormat/>
    <w:rsid w:val="00F44DDC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44DDC"/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paragraph" w:customStyle="1" w:styleId="BodyA">
    <w:name w:val="Body A"/>
    <w:rsid w:val="00F44DDC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B2551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255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55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55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0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866"/>
  </w:style>
  <w:style w:type="paragraph" w:styleId="Footer">
    <w:name w:val="footer"/>
    <w:basedOn w:val="Normal"/>
    <w:link w:val="FooterChar"/>
    <w:uiPriority w:val="99"/>
    <w:unhideWhenUsed/>
    <w:rsid w:val="00D20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866"/>
  </w:style>
  <w:style w:type="paragraph" w:styleId="NormalWeb">
    <w:name w:val="Normal (Web)"/>
    <w:basedOn w:val="Normal"/>
    <w:uiPriority w:val="99"/>
    <w:semiHidden/>
    <w:unhideWhenUsed/>
    <w:rsid w:val="002A7DB7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6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6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ia.gov/state/print.php?sid=TX" TargetMode="External"/><Relationship Id="rId1" Type="http://schemas.openxmlformats.org/officeDocument/2006/relationships/hyperlink" Target="https://www.eia.gov/dnav/pet/pet_pnp_unc_dcu_nus_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Johnson</dc:creator>
  <cp:keywords/>
  <dc:description/>
  <cp:lastModifiedBy>Pat Avery</cp:lastModifiedBy>
  <cp:revision>2</cp:revision>
  <dcterms:created xsi:type="dcterms:W3CDTF">2022-11-04T14:55:00Z</dcterms:created>
  <dcterms:modified xsi:type="dcterms:W3CDTF">2022-11-04T14:55:00Z</dcterms:modified>
</cp:coreProperties>
</file>